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§502. PROPERTY TAXABLE; TAX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