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§5164. Fiduciary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Fiduciary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§5164. FIDUCIARY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