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§5219-T. CREDIT FOR CONSUMPTION OF WOOD PROCESSING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