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430, §1 (AMD).]</w:t>
      </w:r>
    </w:p>
    <w:p>
      <w:pPr>
        <w:jc w:val="both"/>
        <w:spacing w:before="100" w:after="0"/>
        <w:ind w:start="360"/>
        <w:ind w:firstLine="360"/>
      </w:pPr>
      <w:r>
        <w:rPr>
          <w:b/>
        </w:rPr>
        <w:t>1</w:t>
        <w:t xml:space="preserve">.  </w:t>
      </w:r>
      <w:r>
        <w:rPr>
          <w:b/>
        </w:rPr>
        <w:t xml:space="preserve">Chained Consumer Price Index.</w:t>
        <w:t xml:space="preserve"> </w:t>
      </w:r>
      <w:r>
        <w:t xml:space="preserve"> </w:t>
      </w:r>
      <w:r>
        <w:t xml:space="preserve">"Chained Consumer Price Index" means the average over a 12-month period of the most recently published Chained Consumer Price Index, not seasonally adjusted, published monthly by the Bureau of Labor Statistics, United States Department of Labor designated as the "Chained Consumer Price Index for All Urban Consumers-United States City Average" as of the date the assessor determines the cost-of-living adjustment pursuant to </w:t>
      </w:r>
      <w:r>
        <w:t>section 5403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390, §10 (AMD).]</w:t>
      </w:r>
    </w:p>
    <w:p>
      <w:pPr>
        <w:jc w:val="both"/>
        <w:spacing w:before="100" w:after="100"/>
        <w:ind w:start="360"/>
        <w:ind w:firstLine="360"/>
      </w:pPr>
      <w:r>
        <w:rPr>
          <w:b/>
        </w:rPr>
        <w:t>1-A</w:t>
        <w:t xml:space="preserve">.  </w:t>
      </w:r>
      <w:r>
        <w:rPr>
          <w:b/>
        </w:rPr>
        <w:t xml:space="preserve">Base year index.</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495, §5 (RP).]</w:t>
      </w:r>
    </w:p>
    <w:p>
      <w:pPr>
        <w:jc w:val="both"/>
        <w:spacing w:before="100" w:after="0"/>
        <w:ind w:start="360"/>
        <w:ind w:firstLine="360"/>
      </w:pPr>
      <w:r>
        <w:rPr>
          <w:b/>
        </w:rPr>
        <w:t>1-B</w:t>
        <w:t xml:space="preserve">.  </w:t>
      </w:r>
      <w:r>
        <w:rPr>
          <w:b/>
        </w:rPr>
        <w:t xml:space="preserve">Cost-of-living adjustment.</w:t>
        <w:t xml:space="preserve"> </w:t>
      </w:r>
      <w:r>
        <w:t xml:space="preserve"> </w:t>
      </w:r>
      <w:r>
        <w:t xml:space="preserve">The "cost-of-living adjustment" for any calendar year is the Chained Consumer Price Index for the 12-month period ending June 30th of the preceding calendar year divided by the Chained Consumer Price Index for the 12-month period ending June 30, 2014.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Q, §10 (AMD).]</w:t>
      </w:r>
    </w:p>
    <w:p>
      <w:pPr>
        <w:jc w:val="both"/>
        <w:spacing w:before="100" w:after="100"/>
        <w:ind w:start="360"/>
        <w:ind w:firstLine="360"/>
      </w:pPr>
      <w:r>
        <w:rPr>
          <w:b/>
        </w:rPr>
        <w:t>2</w:t>
        <w:t xml:space="preserve">.  </w:t>
      </w:r>
      <w:r>
        <w:rPr>
          <w:b/>
        </w:rPr>
        <w:t xml:space="preserve">Percentage adjustment factor.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T, §9 (RP); PL 1999, c. 731, Pt. T, §11 (AFF).]</w:t>
      </w:r>
    </w:p>
    <w:p>
      <w:pPr>
        <w:jc w:val="both"/>
        <w:spacing w:before="100" w:after="100"/>
        <w:ind w:start="360"/>
        <w:ind w:firstLine="360"/>
      </w:pPr>
      <w:r>
        <w:rPr>
          <w:b/>
        </w:rPr>
        <w:t>3</w:t>
        <w:t xml:space="preserve">.  </w:t>
      </w:r>
      <w:r>
        <w:rPr>
          <w:b/>
        </w:rPr>
        <w:t xml:space="preserve">Inflation factor.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T, §9 (RP); PL 1999, c. 731, Pt. T,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1981, c. 2, §4 (NEW). PL 1983, c. 3, §5 (AMD). PL 1987, c. 430, §1 (AMD). PL 1987, c. 819, §13 (AMD). PL 1989, c. 495, §§5,6 (AMD). PL 1999, c. 731, §§T8,9 (AMD). PL 1999, c. 731, §T11 (AFF). PL 2011, c. 380, Pt. N, §17 (AMD). PL 2011, c. 380, Pt. N, §§19, 20 (AFF). PL 2013, c. 368, Pt. Q, §§9, 10 (AMD). PL 2015, c. 390,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§5402.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