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Annual adjustments for inflation</w:t>
      </w:r>
    </w:p>
    <w:p>
      <w:pPr>
        <w:jc w:val="both"/>
        <w:spacing w:before="100" w:after="100"/>
        <w:ind w:start="360"/>
        <w:ind w:firstLine="360"/>
      </w:pPr>
      <w:r>
        <w:rPr/>
      </w:r>
      <w:r>
        <w:rPr/>
      </w:r>
      <w:r>
        <w:t xml:space="preserve">On or about September 15th of each year as specified in this section, the assessor shall multiply the cost-of-living adjustment for taxable years beginning in the succeeding calendar year by the following:</w:t>
      </w:r>
      <w:r>
        <w:t xml:space="preserve">  </w:t>
      </w:r>
      <w:r xmlns:wp="http://schemas.openxmlformats.org/drawingml/2010/wordprocessingDrawing" xmlns:w15="http://schemas.microsoft.com/office/word/2012/wordml">
        <w:rPr>
          <w:rFonts w:ascii="Arial" w:hAnsi="Arial" w:cs="Arial"/>
          <w:sz w:val="22"/>
          <w:szCs w:val="22"/>
        </w:rPr>
        <w:t xml:space="preserve">[PL 2017, c. 474, Pt. B, §19 (AMD).]</w:t>
      </w:r>
    </w:p>
    <w:p>
      <w:pPr>
        <w:jc w:val="both"/>
        <w:spacing w:before="100" w:after="100"/>
        <w:ind w:start="360"/>
        <w:ind w:firstLine="360"/>
      </w:pPr>
      <w:r>
        <w:rPr>
          <w:b/>
        </w:rPr>
        <w:t>1</w:t>
        <w:t xml:space="preserve">.  </w:t>
      </w:r>
      <w:r>
        <w:rPr>
          <w:b/>
        </w:rPr>
        <w:t xml:space="preserve">Individual income tax rate tables.</w:t>
        <w:t xml:space="preserve"> </w:t>
      </w:r>
      <w:r>
        <w:t xml:space="preserve"> </w:t>
      </w:r>
      <w:r>
        <w:t xml:space="preserve">For the tax rate tables in </w:t>
      </w:r>
      <w:r>
        <w:t>section 5111</w:t>
      </w:r>
      <w:r>
        <w:t xml:space="preserve">:</w:t>
      </w:r>
    </w:p>
    <w:p>
      <w:pPr>
        <w:jc w:val="both"/>
        <w:spacing w:before="100" w:after="0"/>
        <w:ind w:start="720"/>
      </w:pPr>
      <w:r>
        <w:rPr/>
        <w:t>A</w:t>
        <w:t xml:space="preserve">.  </w:t>
      </w:r>
      <w:r>
        <w:rPr/>
      </w:r>
      <w:r>
        <w:t xml:space="preserve">Beginning in 2016 and each year thereafter, by the lowest dollar amounts of the tax rate tables specified in </w:t>
      </w:r>
      <w:r>
        <w:t>section 5111, subsections 1‑F</w:t>
      </w:r>
      <w:r>
        <w:t xml:space="preserve">, </w:t>
      </w:r>
      <w:r>
        <w:t>2‑F</w:t>
      </w:r>
      <w:r>
        <w:t xml:space="preserve"> and </w:t>
      </w:r>
      <w:r>
        <w:t>3‑F</w:t>
      </w:r>
      <w:r>
        <w:t xml:space="preserv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2015; and</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w:pPr>
        <w:jc w:val="both"/>
        <w:spacing w:before="100" w:after="0"/>
        <w:ind w:start="720"/>
      </w:pPr>
      <w:r>
        <w:rPr/>
        <w:t>B</w:t>
        <w:t xml:space="preserve">.  </w:t>
      </w:r>
      <w:r>
        <w:rPr/>
      </w:r>
      <w:r>
        <w:t xml:space="preserve">Beginning in 2017 and each year thereafter, by the highest taxable income dollar amount of each tax rate table,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2016;</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§33 (NEW).]</w:t>
      </w:r>
    </w:p>
    <w:p>
      <w:pPr>
        <w:jc w:val="both"/>
        <w:spacing w:before="100" w:after="0"/>
        <w:ind w:start="360"/>
        <w:ind w:firstLine="360"/>
      </w:pPr>
      <w:r>
        <w:rPr>
          <w:b/>
        </w:rPr>
        <w:t>2</w:t>
        <w:t xml:space="preserve">.  </w:t>
      </w:r>
      <w:r>
        <w:rPr>
          <w:b/>
        </w:rPr>
        <w:t xml:space="preserve">Standard deductions. </w:t>
        <w:t xml:space="preserve"> </w:t>
      </w:r>
      <w:r>
        <w:t xml:space="preserve"> </w:t>
      </w:r>
      <w:r>
        <w:t xml:space="preserve">In 2025 and each year thereafter, by the dollar amount contained in </w:t>
      </w:r>
      <w:r>
        <w:t>section 5124‑C, subsection 1‑B, paragraph A</w:t>
      </w:r>
      <w:r>
        <w:t xml:space="preserve">, subparagraph (1), except that for the purposes of this subsection, notwithstanding </w:t>
      </w:r>
      <w:r>
        <w:t>section 5402, subsection 1‑B</w:t>
      </w:r>
      <w:r>
        <w:t xml:space="preserve">, the "cost- 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§7 (RPR).]</w:t>
      </w:r>
    </w:p>
    <w:p>
      <w:pPr>
        <w:jc w:val="both"/>
        <w:spacing w:before="100" w:after="0"/>
        <w:ind w:start="360"/>
        <w:ind w:firstLine="360"/>
      </w:pPr>
      <w:r>
        <w:rPr>
          <w:b/>
        </w:rPr>
        <w:t>3</w:t>
        <w:t xml:space="preserve">.  </w:t>
      </w:r>
      <w:r>
        <w:rPr>
          <w:b/>
        </w:rPr>
        <w:t xml:space="preserve">Itemized deductions.</w:t>
        <w:t xml:space="preserve"> </w:t>
      </w:r>
      <w:r>
        <w:t xml:space="preserve"> </w:t>
      </w:r>
      <w:r>
        <w:t xml:space="preserve">By the dollar amount of the itemized deduction limitation amount in </w:t>
      </w:r>
      <w:r>
        <w:t>section 5125,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§33 (NEW).]</w:t>
      </w:r>
    </w:p>
    <w:p>
      <w:pPr>
        <w:jc w:val="both"/>
        <w:spacing w:before="100" w:after="0"/>
        <w:ind w:start="360"/>
        <w:ind w:firstLine="360"/>
      </w:pPr>
      <w:r>
        <w:rPr>
          <w:b/>
        </w:rPr>
        <w:t>4</w:t>
        <w:t xml:space="preserve">.  </w:t>
      </w:r>
      <w:r>
        <w:rPr>
          <w:b/>
        </w:rPr>
        <w:t xml:space="preserve">Individual income tax standard deduction and itemized deduction phase-out.</w:t>
        <w:t xml:space="preserve"> </w:t>
      </w:r>
      <w:r>
        <w:t xml:space="preserve"> </w:t>
      </w:r>
      <w:r>
        <w:t xml:space="preserve">Beginning in 2018 and each year thereafter, by the dollar amount contained in the numerator of the fraction specified in </w:t>
      </w:r>
      <w:r>
        <w:t>section 5124‑C, subsection 2, paragraphs A</w:t>
      </w:r>
      <w:r>
        <w:t xml:space="preserve">, </w:t>
      </w:r>
      <w:r>
        <w:t>B</w:t>
      </w:r>
      <w:r>
        <w:t xml:space="preserve"> and </w:t>
      </w:r>
      <w:r>
        <w:t>C</w:t>
      </w:r>
      <w:r>
        <w:t xml:space="preserve"> and </w:t>
      </w:r>
      <w:r>
        <w:t>section 5125, subsection 7, paragraphs A</w:t>
      </w:r>
      <w:r>
        <w:t xml:space="preserve">, </w:t>
      </w:r>
      <w:r>
        <w:t>B</w:t>
      </w:r>
      <w:r>
        <w:t xml:space="preserve"> and </w:t>
      </w:r>
      <w:r>
        <w:t>C</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§21 (AMD).]</w:t>
      </w:r>
    </w:p>
    <w:p>
      <w:pPr>
        <w:jc w:val="both"/>
        <w:spacing w:before="100" w:after="100"/>
        <w:ind w:start="360"/>
        <w:ind w:firstLine="360"/>
      </w:pPr>
      <w:r>
        <w:rPr>
          <w:b/>
        </w:rPr>
        <w:t>5</w:t>
        <w:t xml:space="preserve">.  </w:t>
      </w:r>
      <w:r>
        <w:rPr>
          <w:b/>
        </w:rPr>
        <w:t xml:space="preserve">Sales tax fairness credit.</w:t>
        <w:t xml:space="preserve"> </w:t>
      </w:r>
      <w:r>
        <w:t xml:space="preserve"> </w:t>
      </w:r>
      <w:r>
        <w:t xml:space="preserve">For the sales tax fairness credit:</w:t>
      </w:r>
    </w:p>
    <w:p>
      <w:pPr>
        <w:jc w:val="both"/>
        <w:spacing w:before="100" w:after="0"/>
        <w:ind w:start="720"/>
      </w:pPr>
      <w:r>
        <w:rPr/>
        <w:t>A</w:t>
        <w:t xml:space="preserve">.  </w:t>
      </w:r>
      <w:r>
        <w:rPr/>
      </w:r>
      <w:r>
        <w:t xml:space="preserve">Beginning in 2018 and each year thereafter, by the base credit amounts in </w:t>
      </w:r>
      <w:r>
        <w:t>section 5213‑A, subsection 1, paragraph A‑1</w:t>
      </w:r>
      <w:r>
        <w:t xml:space="preserve">, including the additional amounts in subparagraph (2), divisions (a) and (b),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If the base credit amount, adjusted by application of the cost-of-living adjustment, is not a multiple of $5, any increase must be rounded to the next lowest multiple of $5; and</w:t>
      </w:r>
      <w:r>
        <w:t xml:space="preserve">  </w:t>
      </w:r>
      <w:r xmlns:wp="http://schemas.openxmlformats.org/drawingml/2010/wordprocessingDrawing" xmlns:w15="http://schemas.microsoft.com/office/word/2012/wordml">
        <w:rPr>
          <w:rFonts w:ascii="Arial" w:hAnsi="Arial" w:cs="Arial"/>
          <w:sz w:val="22"/>
          <w:szCs w:val="22"/>
        </w:rPr>
        <w:t xml:space="preserve">[PL 2017, c. 474, Pt. B, §22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474, Pt. B, §22 (RP).]</w:t>
      </w:r>
    </w:p>
    <w:p>
      <w:pPr>
        <w:jc w:val="both"/>
        <w:spacing w:before="100" w:after="0"/>
        <w:ind w:start="720"/>
      </w:pPr>
      <w:r>
        <w:rPr/>
        <w:t>C</w:t>
        <w:t xml:space="preserve">.  </w:t>
      </w:r>
      <w:r>
        <w:rPr/>
      </w:r>
      <w:r>
        <w:t xml:space="preserve">Beginning in 2016 and each year thereafter, by the dollar amount of the income threshold set forth in </w:t>
      </w:r>
      <w:r>
        <w:t>section 5213‑A, subsection 4</w:t>
      </w:r>
      <w:r>
        <w:t xml:space="preserv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2015;</w:t>
      </w:r>
      <w:r>
        <w:t xml:space="preserve">  </w:t>
      </w:r>
      <w:r xmlns:wp="http://schemas.openxmlformats.org/drawingml/2010/wordprocessingDrawing" xmlns:w15="http://schemas.microsoft.com/office/word/2012/wordml">
        <w:rPr>
          <w:rFonts w:ascii="Arial" w:hAnsi="Arial" w:cs="Arial"/>
          <w:sz w:val="22"/>
          <w:szCs w:val="22"/>
        </w:rPr>
        <w:t xml:space="preserve">[PL 2017, c. 474, Pt. B,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§22 (AMD).]</w:t>
      </w:r>
    </w:p>
    <w:p>
      <w:pPr>
        <w:jc w:val="both"/>
        <w:spacing w:before="100" w:after="100"/>
        <w:ind w:start="360"/>
        <w:ind w:firstLine="360"/>
      </w:pPr>
      <w:r>
        <w:rPr>
          <w:b/>
        </w:rPr>
        <w:t>6</w:t>
        <w:t xml:space="preserve">.  </w:t>
      </w:r>
      <w:r>
        <w:rPr>
          <w:b/>
        </w:rPr>
        <w:t xml:space="preserve">Property tax fairness credit. </w:t>
        <w:t xml:space="preserve"> </w:t>
      </w:r>
      <w:r>
        <w:t xml:space="preserve"> </w:t>
      </w:r>
      <w:r>
        <w:t xml:space="preserve">For the property tax fairness credit:</w:t>
      </w:r>
    </w:p>
    <w:p>
      <w:pPr>
        <w:jc w:val="both"/>
        <w:spacing w:before="100" w:after="0"/>
        <w:ind w:start="720"/>
      </w:pPr>
      <w:r>
        <w:rPr/>
        <w:t>A</w:t>
        <w:t xml:space="preserve">.  </w:t>
      </w:r>
      <w:r>
        <w:rPr/>
      </w:r>
      <w:r>
        <w:t xml:space="preserve">Beginning in 2018 and each year thereafter, by the benefit base amounts in </w:t>
      </w:r>
      <w:r>
        <w:t>section 5219‑KK, subsection 1, paragraph A‑1</w:t>
      </w:r>
      <w:r>
        <w:t xml:space="preserve">, subparagraphs (1) to (3),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and</w:t>
      </w:r>
      <w:r>
        <w:t xml:space="preserve">  </w:t>
      </w:r>
      <w:r xmlns:wp="http://schemas.openxmlformats.org/drawingml/2010/wordprocessingDrawing" xmlns:w15="http://schemas.microsoft.com/office/word/2012/wordml">
        <w:rPr>
          <w:rFonts w:ascii="Arial" w:hAnsi="Arial" w:cs="Arial"/>
          <w:sz w:val="22"/>
          <w:szCs w:val="22"/>
        </w:rPr>
        <w:t xml:space="preserve">[PL 2023, c. 412, Pt. S, §5 (NEW).]</w:t>
      </w:r>
    </w:p>
    <w:p>
      <w:pPr>
        <w:jc w:val="both"/>
        <w:spacing w:before="100" w:after="0"/>
        <w:ind w:start="720"/>
      </w:pPr>
      <w:r>
        <w:rPr/>
        <w:t>B</w:t>
        <w:t xml:space="preserve">.  </w:t>
      </w:r>
      <w:r>
        <w:rPr/>
      </w:r>
      <w:r>
        <w:t xml:space="preserve">Beginning in 2024 and each year thereafter, by the benefit base amount in </w:t>
      </w:r>
      <w:r>
        <w:t>section 5219‑KK, subsection 1, paragraph A‑1</w:t>
      </w:r>
      <w:r>
        <w:t xml:space="preserve">, subparagraph (4),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2023;</w:t>
      </w:r>
      <w:r>
        <w:t xml:space="preserve">  </w:t>
      </w:r>
      <w:r xmlns:wp="http://schemas.openxmlformats.org/drawingml/2010/wordprocessingDrawing" xmlns:w15="http://schemas.microsoft.com/office/word/2012/wordml">
        <w:rPr>
          <w:rFonts w:ascii="Arial" w:hAnsi="Arial" w:cs="Arial"/>
          <w:sz w:val="22"/>
          <w:szCs w:val="22"/>
        </w:rPr>
        <w:t xml:space="preserve">[PL 2023, c. 412, Pt. S,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§5 (RPR).]</w:t>
      </w:r>
    </w:p>
    <w:p>
      <w:pPr>
        <w:jc w:val="both"/>
        <w:spacing w:before="100" w:after="0"/>
        <w:ind w:start="360"/>
        <w:ind w:firstLine="360"/>
      </w:pPr>
      <w:r>
        <w:rPr>
          <w:b/>
        </w:rPr>
        <w:t>7</w:t>
        <w:t xml:space="preserve">.  </w:t>
      </w:r>
      <w:r>
        <w:rPr>
          <w:b/>
        </w:rPr>
        <w:t xml:space="preserve">Personal exemptions.</w:t>
        <w:t xml:space="preserve"> </w:t>
      </w:r>
      <w:r>
        <w:t xml:space="preserve"> </w:t>
      </w:r>
      <w:r>
        <w:t xml:space="preserve">Beginning in 2018 and each year thereafter, by the dollar amounts contained in </w:t>
      </w:r>
      <w:r>
        <w:t>section 5126‑A, subsection 1</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§8 (AMD).]</w:t>
      </w:r>
    </w:p>
    <w:p>
      <w:pPr>
        <w:jc w:val="both"/>
        <w:spacing w:before="100" w:after="0"/>
        <w:ind w:start="360"/>
        <w:ind w:firstLine="360"/>
      </w:pPr>
      <w:r>
        <w:rPr>
          <w:b/>
        </w:rPr>
        <w:t>8</w:t>
        <w:t xml:space="preserve">.  </w:t>
      </w:r>
      <w:r>
        <w:rPr>
          <w:b/>
        </w:rPr>
        <w:t xml:space="preserve">Personal exemption phase-out.</w:t>
        <w:t xml:space="preserve"> </w:t>
      </w:r>
      <w:r>
        <w:t xml:space="preserve"> </w:t>
      </w:r>
      <w:r>
        <w:t xml:space="preserve">Beginning in 2018 and each year thereafter, by the dollar amount of the applicable amounts specified in </w:t>
      </w:r>
      <w:r>
        <w:t>section 5126‑A, subsection 2, paragraphs A</w:t>
      </w:r>
      <w:r>
        <w:t xml:space="preserve">, </w:t>
      </w:r>
      <w:r>
        <w:t>B</w:t>
      </w:r>
      <w:r>
        <w:t xml:space="preserve"> and </w:t>
      </w:r>
      <w:r>
        <w:t>C</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§9 (AMD).]</w:t>
      </w:r>
    </w:p>
    <w:p>
      <w:pPr>
        <w:jc w:val="both"/>
        <w:spacing w:before="100" w:after="0"/>
        <w:ind w:start="360"/>
        <w:ind w:firstLine="360"/>
      </w:pPr>
      <w:r>
        <w:rPr>
          <w:b/>
        </w:rPr>
        <w:t>9</w:t>
        <w:t xml:space="preserve">.  </w:t>
      </w:r>
      <w:r>
        <w:rPr>
          <w:b/>
        </w:rPr>
        <w:t xml:space="preserve">Dependent exemption tax credit amount.</w:t>
        <w:t xml:space="preserve"> </w:t>
      </w:r>
      <w:r>
        <w:t xml:space="preserve"> </w:t>
      </w:r>
      <w:r>
        <w:t xml:space="preserve">Beginning in 2024 and each year thereafter, by the dollar amount of the dependent exemption tax credit under </w:t>
      </w:r>
      <w:r>
        <w:t>section 5219‑SS</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2023. If the credit amount, adjusted by application of the cost-of-living adjustment, is not a multiple of $5, any increase must be rounded to the next lowest multiple of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§10 (NEW).]</w:t>
      </w:r>
    </w:p>
    <w:p>
      <w:pPr>
        <w:jc w:val="both"/>
        <w:spacing w:before="100" w:after="100"/>
        <w:ind w:start="360"/>
        <w:ind w:firstLine="360"/>
      </w:pPr>
      <w:r>
        <w:rPr/>
      </w:r>
      <w:r>
        <w:rPr/>
      </w:r>
      <w:r>
        <w:t xml:space="preserve">Except for </w:t>
      </w:r>
      <w:r>
        <w:t>subsection 5, paragraph A</w:t>
      </w:r>
      <w:r>
        <w:t xml:space="preserve"> and </w:t>
      </w:r>
      <w:r>
        <w:t>subsection 9</w:t>
      </w:r>
      <w:r>
        <w:t xml:space="preserve">, if the dollar amount of each item, adjusted by the application of the cost-of-living adjustment, is not a multiple of $50, any increase must be rounded to the next lowest multiple of $50.</w:t>
      </w:r>
      <w:r>
        <w:t xml:space="preserve">  </w:t>
      </w:r>
      <w:r xmlns:wp="http://schemas.openxmlformats.org/drawingml/2010/wordprocessingDrawing" xmlns:w15="http://schemas.microsoft.com/office/word/2012/wordml">
        <w:rPr>
          <w:rFonts w:ascii="Arial" w:hAnsi="Arial" w:cs="Arial"/>
          <w:sz w:val="22"/>
          <w:szCs w:val="22"/>
        </w:rPr>
        <w:t xml:space="preserve">[PL 2023, c. 412, Pt. ZZZ, §11 (AMD).]</w:t>
      </w:r>
    </w:p>
    <w:p>
      <w:pPr>
        <w:jc w:val="both"/>
        <w:spacing w:before="100" w:after="100"/>
        <w:ind w:start="360"/>
        <w:ind w:firstLine="360"/>
      </w:pPr>
      <w:r>
        <w:rPr/>
      </w:r>
      <w:r>
        <w:rPr/>
      </w:r>
      <w:r>
        <w:t xml:space="preserve">If the cost-of-living adjustment for any taxable year would be less than the cost-of-living adjustment for the preceding calendar year, the cost-of-living adjustment is the same as for the preceding calendar year.  The assessor shall incorporate such changes into the income tax forms, instructions and withholding tables for the taxable year.</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PL 1983, c. 3, §6 (AMD). PL 1987, c. 430, §2 (AMD). PL 1987, c. 819, §14 (RPR). PL 1989, c. 495, §7 (AMD). PL 1991, c. 528, §CCC (AMD). PL 1991, c. 528, §RRR (AFF). PL 1991, c. 591, §CCC (AMD). PL 1999, c. 731, §T10 (RPR). PL 1999, c. 731, §T11 (AFF). PL 2009, c. 213, Pt. WWW, §1 (AMD). PL 2009, c. 213, Pt. WWW, §2 (AFF). PL 2011, c. 380, Pt. N, §18 (AMD). PL 2011, c. 380, Pt. N, §19 (AFF). PL 2013, c. 368, Pt. Q, §11 (AMD). PL 2013, c. 368, Pt. Q, §12 (AFF). PL 2013, c. 368, Pt. TT, §19 (AMD). PL 2013, c. 551, §4 (RPR). PL 2015, c. 267, Pt. DD, §33 (RPR). PL 2017, c. 170, Pt. D, §10 (AMD). PL 2017, c. 474, Pt. B, §§19-25 (AMD). PL 2019, c. 379, Pt. C, §5 (AMD). PL 2023, c. 412, Pt. S, §5 (AMD). PL 2023, c. 412, Pt. ZZZ, §§7-11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§5403. Annual adjustments for inflation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Annual adjustments for inflation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§5403. ANNUAL ADJUSTMENTS FOR INFLATION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