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Disallowance of certain claims</w:t>
      </w:r>
    </w:p>
    <w:p>
      <w:pPr>
        <w:jc w:val="both"/>
        <w:spacing w:before="100" w:after="100"/>
        <w:ind w:start="360"/>
        <w:ind w:firstLine="360"/>
      </w:pPr>
      <w:r>
        <w:rPr/>
      </w:r>
      <w:r>
        <w:rPr/>
      </w:r>
      <w:r>
        <w:t xml:space="preserve">A claim shall be disallowed, if the State Tax Assessor finds that the claimant received title to his homestead primarily for the purpose of receiving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§6214. Disallowance of certain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Disallowance of certain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§6214. DISALLOWANCE OF CERTAIN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