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§6251. DEFERRAL OF TAX ON HOMESTEAD; JOINT ELECTION; AGE REQUIREMENT;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