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§6591. 2009 TAX RECEIVABLES REDUCTION INITIATIVE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