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County commissioners may appoint assessors; procedure</w:t>
      </w:r>
    </w:p>
    <w:p>
      <w:pPr>
        <w:jc w:val="both"/>
        <w:spacing w:before="100" w:after="100"/>
        <w:ind w:start="360"/>
        <w:ind w:firstLine="360"/>
      </w:pPr>
      <w:r>
        <w:rPr/>
      </w:r>
      <w:r>
        <w:rPr/>
      </w:r>
      <w:r>
        <w:t xml:space="preserve">If for 3 months after any warrant for a county tax has been issued, a municipality that is not part of a primary assessing area or is not a primary assessing area has neglected to choose assessors, or the assessors chosen have neglected to assess and certify such tax, the treasurer of the county in which that municipality is located may so notify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On receipt of such notification the county commissioners shall appoint 3 or more suitable persons in the county to be assessors for such municipality. New warrants must be issued to those assessors; those warrants supersede the county warrants originally issued to the assessors of the delinquent municipality.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Assessors appointed under this section must be duly sworn; are subject to the same duties and penalties as other assessors; and shall assess upon the polls and estates of the municipality its due proportion of county taxes and such reasonable charges for time and expense in making the assessment as the county commissioners may approve; such charges must be paid from the county treasury.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§15 (AMD). PL 2021, c. 531,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County commissioners may appoint assessors;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County commissioners may appoint assessors;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§705. COUNTY COMMISSIONERS MAY APPOINT ASSESSORS;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