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Personal property distrained; sold as on execution</w:t>
      </w:r>
    </w:p>
    <w:p>
      <w:pPr>
        <w:jc w:val="both"/>
        <w:spacing w:before="100" w:after="100"/>
        <w:ind w:start="360"/>
        <w:ind w:firstLine="360"/>
      </w:pPr>
      <w:r>
        <w:rPr/>
      </w:r>
      <w:r>
        <w:rPr/>
      </w:r>
      <w:r>
        <w:t xml:space="preserve">Any officer selling personal property, distrained under a treasurer's warrant against a tax collector or against the inhabitants of a municipality, shall proceed as in the sale of such property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§896. Personal property distrained; sold as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Personal property distrained; sold as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§896. PERSONAL PROPERTY DISTRAINED; SOLD AS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