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§183. HUMAN HEALTH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