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Right-of-way;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§828. RIGHT-OF-WAY;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