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Use without marks or false marks; penalty</w:t>
      </w:r>
    </w:p>
    <w:p>
      <w:pPr>
        <w:jc w:val="both"/>
        <w:spacing w:before="100" w:after="100"/>
        <w:ind w:start="360"/>
        <w:ind w:firstLine="360"/>
      </w:pPr>
      <w:r>
        <w:rPr/>
      </w:r>
      <w:r>
        <w:rPr/>
      </w:r>
      <w:r>
        <w:t xml:space="preserve">A master or owner who uses the master's or owner's craft without such marks prescribed in section 121 and any person who falsely marks any such boat or lighter forfeits $50 to be recovered by any prosecutor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Use without marks or false marks;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Use without marks or false marks;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§122. USE WITHOUT MARKS OR FALSE MARKS;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