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1282</w:t>
        <w:t xml:space="preserve">.  </w:t>
      </w:r>
      <w:r>
        <w:rPr>
          <w:b/>
        </w:rPr>
        <w:t xml:space="preserve">Standards of conduct</w:t>
      </w:r>
    </w:p>
    <w:p>
      <w:pPr>
        <w:jc w:val="both"/>
        <w:spacing w:before="100" w:after="100"/>
        <w:ind w:start="360"/>
        <w:ind w:firstLine="360"/>
      </w:pPr>
      <w:r>
        <w:rPr/>
      </w:r>
      <w:r>
        <w:rPr/>
      </w:r>
      <w:r>
        <w:t xml:space="preserve">The Board of Environmental Protection shall promulgate rules which establish standards of acceptable professional conduct for licensees and certificate holders engaged in asbestos abatement activities, as well as specific acts and omissions that constitute grounds for the reprimand of any licensee or certificate holder, the suspension or revocation of a license or certificate or the denial of the renewal of a license or certificate.</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§1282. Standards of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§1282. Standards of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§1282. STANDARDS OF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