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1306-C</w:t>
        <w:t xml:space="preserve">.  </w:t>
      </w:r>
      <w:r>
        <w:rPr>
          <w:b/>
        </w:rPr>
        <w:t xml:space="preserve">Forfeiture; civil liability</w:t>
      </w:r>
    </w:p>
    <w:p>
      <w:pPr>
        <w:jc w:val="both"/>
        <w:spacing w:before="100" w:after="100"/>
        <w:ind w:start="360"/>
      </w:pPr>
      <w:r>
        <w:rPr>
          <w:b/>
        </w:rPr>
        <w:t>(REALLOCATED TO TITLE 38, SECTION 1319-U)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§18 (NEW). PL 1983, c. 432, §7 (AMD). PL 1983, c. 785, §14 (AMD). PL 1985, c. 785, §A113 (AMD). PL 1987, c. 517,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§1306-C.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