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1310-H-1</w:t>
        <w:t xml:space="preserve">.  </w:t>
      </w:r>
      <w:r>
        <w:rPr>
          <w:b/>
        </w:rPr>
        <w:t xml:space="preserve">Notice to subsequent owners</w:t>
      </w:r>
    </w:p>
    <w:p>
      <w:pPr>
        <w:jc w:val="both"/>
        <w:spacing w:before="100" w:after="100"/>
        <w:ind w:start="360"/>
        <w:ind w:firstLine="360"/>
      </w:pPr>
      <w:r>
        <w:rPr/>
      </w:r>
      <w:r>
        <w:rPr/>
      </w:r>
      <w:r>
        <w:t xml:space="preserve">The owner of a parcel of land upon which a closed or abandoned municipal solid waste landfill is located shall include notice of the presence of the landfill in any deed transferring ownership of all or part of the parcel and in any easement conveying a right of use to all or part of the parcel.</w:t>
      </w:r>
      <w:r>
        <w:t xml:space="preserve">  </w:t>
      </w:r>
      <w:r xmlns:wp="http://schemas.openxmlformats.org/drawingml/2010/wordprocessingDrawing" xmlns:w15="http://schemas.microsoft.com/office/word/2012/wordml">
        <w:rPr>
          <w:rFonts w:ascii="Arial" w:hAnsi="Arial" w:cs="Arial"/>
          <w:sz w:val="22"/>
          <w:szCs w:val="22"/>
        </w:rPr>
        <w:t xml:space="preserve">[PL 1999, c. 334,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§1310-H-1. Notice to subsequent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§1310-H-1. Notice to subsequent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§1310-H-1. NOTICE TO SUBSEQUENT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