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disposal district which has been issued its certificate of organization and has assumed the management of and responsibility for disposal services within its territorial limits, the directors of the disposal district shall determine what disposal property or properties, if any, owned by any municipality within the disposal district shall be necessary to carry on the functions of the disposal district and shall request in writing that the municipal officers of any municipality within the disposal district convey title to the disposal property to the disposal district and the municipal officers shall make the conveyance.  The disposal district shall pay fair compensation for the property or properties.  Any request by the directors of the district shall be made in writing within 2 years of the date of the certificate of organization or the effective date on which a new member joins the district, whichever is appropriate, and shall be limited to facilities existing as of the date of the certificate of organization or the effective date on which a new member joins the district, whichever is appropriate.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§1723.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§1723.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