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Real and personal property and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§1732. REAL AND PERSONAL PROPERTY AND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