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State agency assistance</w:t>
      </w:r>
    </w:p>
    <w:p>
      <w:pPr>
        <w:jc w:val="both"/>
        <w:spacing w:before="100" w:after="100"/>
        <w:ind w:start="360"/>
        <w:ind w:firstLine="360"/>
      </w:pPr>
      <w:r>
        <w:rPr/>
      </w:r>
      <w:r>
        <w:rPr/>
      </w:r>
      <w:r>
        <w:t xml:space="preserve">The Department of Economic and Community Development, the Department of Environmental Protection and other state agencies with expertise in watershed management shall, to the extent practicable, develop advisory guidelines, models and other technical assistance materials on the watershed planning process for municipalities, interested citizens and others.  These agencies shall, upon request and as resources allow, provide assistance to watershed districts in the development and implementation of watershed management plans.</w:t>
      </w:r>
      <w:r>
        <w:t xml:space="preserve">  </w:t>
      </w:r>
      <w:r xmlns:wp="http://schemas.openxmlformats.org/drawingml/2010/wordprocessingDrawing" xmlns:w15="http://schemas.microsoft.com/office/word/2012/wordml">
        <w:rPr>
          <w:rFonts w:ascii="Arial" w:hAnsi="Arial" w:cs="Arial"/>
          <w:sz w:val="22"/>
          <w:szCs w:val="22"/>
        </w:rPr>
        <w:t xml:space="preserve">[PL 1993, c. 721, Pt. E, §9 (NEW);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§E9 (NEW). PL 1993, c. 721, §H1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§2012. State agency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State agency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§2012. STATE AGENCY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