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§343-C. TECHNICAL AND ENVIRONMENTAL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