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Fees</w:t>
      </w:r>
    </w:p>
    <w:p>
      <w:pPr>
        <w:jc w:val="both"/>
        <w:spacing w:before="100" w:after="0"/>
        <w:ind w:start="360"/>
        <w:ind w:firstLine="360"/>
      </w:pPr>
      <w:r>
        <w:rPr>
          <w:b/>
        </w:rPr>
        <w:t>1</w:t>
        <w:t xml:space="preserve">.  </w:t>
      </w:r>
      <w:r>
        <w:rPr>
          <w:b/>
        </w:rPr>
        <w:t xml:space="preserve">Fees established.</w:t>
        <w:t xml:space="preserve"> </w:t>
      </w:r>
      <w:r>
        <w:t xml:space="preserve"> </w:t>
      </w:r>
      <w:r>
        <w:t xml:space="preserve">The commissioner shall establish procedures to charge applicants for costs incurred in reviewing license and permit applications.  For the purposes of this subchapter, costs may include, but are not limited to, personnel costs, travel, supplies, legal and computer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 (AMD).]</w:t>
      </w:r>
    </w:p>
    <w:p>
      <w:pPr>
        <w:jc w:val="both"/>
        <w:spacing w:before="100" w:after="100"/>
        <w:ind w:start="360"/>
        <w:ind w:firstLine="360"/>
      </w:pPr>
      <w:r>
        <w:rPr>
          <w:b/>
        </w:rPr>
        <w:t>2</w:t>
        <w:t xml:space="preserve">.  </w:t>
      </w:r>
      <w:r>
        <w:rPr>
          <w:b/>
        </w:rPr>
        <w:t xml:space="preserve">Fee categories.</w:t>
        <w:t xml:space="preserve"> </w:t>
      </w:r>
      <w:r>
        <w:t xml:space="preserve"> </w:t>
      </w:r>
      <w:r>
        <w:t xml:space="preserve">Fees shall be assessed for the following.</w:t>
      </w:r>
    </w:p>
    <w:p>
      <w:pPr>
        <w:jc w:val="both"/>
        <w:spacing w:before="100" w:after="0"/>
        <w:ind w:start="720"/>
      </w:pPr>
      <w:r>
        <w:rPr/>
        <w:t>A</w:t>
        <w:t xml:space="preserve">.  </w:t>
      </w:r>
      <w:r>
        <w:rPr/>
      </w:r>
      <w:r>
        <w:t xml:space="preserve">Except for those fees assessed under </w:t>
      </w:r>
      <w:r>
        <w:t>sections 353‑A</w:t>
      </w:r>
      <w:r>
        <w:t xml:space="preserve"> and </w:t>
      </w:r>
      <w:r>
        <w:t>353‑B</w:t>
      </w:r>
      <w:r>
        <w:t xml:space="preserve">, processing fees must be assessed for costs incurred in determining the acceptability of an application for processing and in processing an application to determine whether it meets statutory and regulatory criteria.</w:t>
      </w:r>
      <w:r>
        <w:t xml:space="preserve">  </w:t>
      </w:r>
      <w:r xmlns:wp="http://schemas.openxmlformats.org/drawingml/2010/wordprocessingDrawing" xmlns:w15="http://schemas.microsoft.com/office/word/2012/wordml">
        <w:rPr>
          <w:rFonts w:ascii="Arial" w:hAnsi="Arial" w:cs="Arial"/>
          <w:sz w:val="22"/>
          <w:szCs w:val="22"/>
        </w:rPr>
        <w:t xml:space="preserve">[PL 1997, c. 794, Pt. B,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419, §5 (RP).]</w:t>
      </w:r>
    </w:p>
    <w:p>
      <w:pPr>
        <w:jc w:val="both"/>
        <w:spacing w:before="100" w:after="0"/>
        <w:ind w:start="720"/>
      </w:pPr>
      <w:r>
        <w:rPr/>
        <w:t>C</w:t>
        <w:t xml:space="preserve">.  </w:t>
      </w:r>
      <w:r>
        <w:rPr/>
      </w:r>
      <w:r>
        <w:t xml:space="preserve">Except for those fees assessed under </w:t>
      </w:r>
      <w:r>
        <w:t>sections 353‑A</w:t>
      </w:r>
      <w:r>
        <w:t xml:space="preserve"> and </w:t>
      </w:r>
      <w:r>
        <w:t>353‑B</w:t>
      </w:r>
      <w:r>
        <w:t xml:space="preserve">, licensing fees must be assessed for direct costs incurred in monitoring, inspecting and sampling to ensure proper compliance by a licensee.</w:t>
      </w:r>
      <w:r>
        <w:t xml:space="preserve">  </w:t>
      </w:r>
      <w:r xmlns:wp="http://schemas.openxmlformats.org/drawingml/2010/wordprocessingDrawing" xmlns:w15="http://schemas.microsoft.com/office/word/2012/wordml">
        <w:rPr>
          <w:rFonts w:ascii="Arial" w:hAnsi="Arial" w:cs="Arial"/>
          <w:sz w:val="22"/>
          <w:szCs w:val="22"/>
        </w:rPr>
        <w:t xml:space="preserve">[PL 1997, c. 794, Pt. B, §2 (AMD).]</w:t>
      </w:r>
    </w:p>
    <w:p>
      <w:pPr>
        <w:jc w:val="both"/>
        <w:spacing w:before="100" w:after="0"/>
        <w:ind w:start="720"/>
      </w:pPr>
      <w:r>
        <w:rPr/>
        <w:t>D</w:t>
        <w:t xml:space="preserve">.  </w:t>
      </w:r>
      <w:r>
        <w:rPr/>
      </w:r>
      <w:r>
        <w:t xml:space="preserve">Certification fees shall be assessed for direct costs incurred in issuing a certification.</w:t>
      </w:r>
      <w:r>
        <w:t xml:space="preserve">  </w:t>
      </w:r>
      <w:r xmlns:wp="http://schemas.openxmlformats.org/drawingml/2010/wordprocessingDrawing" xmlns:w15="http://schemas.microsoft.com/office/word/2012/wordml">
        <w:rPr>
          <w:rFonts w:ascii="Arial" w:hAnsi="Arial" w:cs="Arial"/>
          <w:sz w:val="22"/>
          <w:szCs w:val="22"/>
        </w:rPr>
        <w:t xml:space="preserve">[PL 1985, c. 746, §13 (NEW).]</w:t>
      </w:r>
    </w:p>
    <w:p>
      <w:pPr>
        <w:jc w:val="both"/>
        <w:spacing w:before="100" w:after="0"/>
        <w:ind w:start="720"/>
      </w:pPr>
      <w:r>
        <w:rPr/>
        <w:t>E</w:t>
        <w:t xml:space="preserve">.  </w:t>
      </w:r>
      <w:r>
        <w:rPr/>
      </w:r>
      <w:r>
        <w:t xml:space="preserve">The air emission license fees assessed under </w:t>
      </w:r>
      <w:r>
        <w:t>section 353‑A</w:t>
      </w:r>
      <w:r>
        <w:t xml:space="preserve"> for those facilities licensed under </w:t>
      </w:r>
      <w:r>
        <w:t>section 590</w:t>
      </w:r>
      <w:r>
        <w:t xml:space="preserve"> must be assessed to support activities for air quality control including licensing, compliance, enforcement, monitoring, data acquisition and administration.</w:t>
      </w:r>
      <w:r>
        <w:t xml:space="preserve">  </w:t>
      </w:r>
      <w:r xmlns:wp="http://schemas.openxmlformats.org/drawingml/2010/wordprocessingDrawing" xmlns:w15="http://schemas.microsoft.com/office/word/2012/wordml">
        <w:rPr>
          <w:rFonts w:ascii="Arial" w:hAnsi="Arial" w:cs="Arial"/>
          <w:sz w:val="22"/>
          <w:szCs w:val="22"/>
        </w:rPr>
        <w:t xml:space="preserve">[PL 2013, c. 300, §9 (AMD).]</w:t>
      </w:r>
    </w:p>
    <w:p>
      <w:pPr>
        <w:jc w:val="both"/>
        <w:spacing w:before="100" w:after="0"/>
        <w:ind w:start="720"/>
      </w:pPr>
      <w:r>
        <w:rPr/>
        <w:t>F</w:t>
        <w:t xml:space="preserve">.  </w:t>
      </w:r>
      <w:r>
        <w:rPr/>
      </w:r>
      <w:r>
        <w:t xml:space="preserve">Waste discharge license fees assessed under </w:t>
      </w:r>
      <w:r>
        <w:t>section 353‑B</w:t>
      </w:r>
      <w:r>
        <w:t xml:space="preserve"> for facilities licensed under </w:t>
      </w:r>
      <w:r>
        <w:t>Title 36, section 656</w:t>
      </w:r>
      <w:r>
        <w:t xml:space="preserve"> and </w:t>
      </w:r>
      <w:r>
        <w:t>sections 362‑A</w:t>
      </w:r>
      <w:r>
        <w:t xml:space="preserve">, </w:t>
      </w:r>
      <w:r>
        <w:t>413</w:t>
      </w:r>
      <w:r>
        <w:t xml:space="preserve">, </w:t>
      </w:r>
      <w:r>
        <w:t>418</w:t>
      </w:r>
      <w:r>
        <w:t xml:space="preserve">, </w:t>
      </w:r>
      <w:r>
        <w:t>451</w:t>
      </w:r>
      <w:r>
        <w:t xml:space="preserve"> and </w:t>
      </w:r>
      <w:r>
        <w:t>1101</w:t>
      </w:r>
      <w:r>
        <w:t xml:space="preserve"> must be used to support activities for water quality control operations, including licensing, compliance evaluation, monitoring, data acquisition, data management and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794, Pt. B, §3 (AMD).]</w:t>
      </w:r>
    </w:p>
    <w:p>
      <w:pPr>
        <w:jc w:val="both"/>
        <w:spacing w:before="100" w:after="0"/>
        <w:ind w:start="720"/>
      </w:pPr>
      <w:r>
        <w:rPr/>
        <w:t>G</w:t>
        <w:t xml:space="preserve">.  </w:t>
      </w:r>
      <w:r>
        <w:rPr/>
      </w:r>
      <w:r>
        <w:t xml:space="preserve">The total amount of fees due for acceptance of a license, notice, registration and certification administered by the department under this Title must be doubled at the time an application is submitted if it is received after the date on which submission is required by law.  This increase may be reduced at the commissioner's discretion with a showing of mitigating circumstances.</w:t>
      </w:r>
      <w:r>
        <w:t xml:space="preserve">  </w:t>
      </w:r>
      <w:r xmlns:wp="http://schemas.openxmlformats.org/drawingml/2010/wordprocessingDrawing" xmlns:w15="http://schemas.microsoft.com/office/word/2012/wordml">
        <w:rPr>
          <w:rFonts w:ascii="Arial" w:hAnsi="Arial" w:cs="Arial"/>
          <w:sz w:val="22"/>
          <w:szCs w:val="22"/>
        </w:rPr>
        <w:t xml:space="preserve">[PL 2007, c. 292,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§9 (AMD).]</w:t>
      </w:r>
    </w:p>
    <w:p>
      <w:pPr>
        <w:jc w:val="both"/>
        <w:spacing w:before="100" w:after="0"/>
        <w:ind w:start="360"/>
        <w:ind w:firstLine="360"/>
      </w:pPr>
      <w:r>
        <w:rPr>
          <w:b/>
        </w:rPr>
        <w:t>2-A</w:t>
        <w:t xml:space="preserve">.  </w:t>
      </w:r>
      <w:r>
        <w:rPr>
          <w:b/>
        </w:rPr>
        <w:t xml:space="preserve">Fee adjustment.</w:t>
        <w:t xml:space="preserve"> </w:t>
      </w:r>
      <w:r>
        <w:t xml:space="preserve"> </w:t>
      </w:r>
      <w:r>
        <w:t xml:space="preserve">The commissioner may adjust the fees established in this subchapter on an annual basis according to the United States Consumer Price Index established by the federal Department of Labor, Bureau of Labor Statistics.  These adjustments may be compounded and assessed at an interval greater than one year if the commissioner determines that such periodic increases lower administrative costs for the department and continue effective public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 (AMD).]</w:t>
      </w:r>
    </w:p>
    <w:p>
      <w:pPr>
        <w:jc w:val="both"/>
        <w:spacing w:before="100" w:after="0"/>
        <w:ind w:start="360"/>
        <w:ind w:firstLine="360"/>
      </w:pPr>
      <w:r>
        <w:rPr>
          <w:b/>
        </w:rPr>
        <w:t>3</w:t>
        <w:t xml:space="preserve">.  </w:t>
      </w:r>
      <w:r>
        <w:rPr>
          <w:b/>
        </w:rPr>
        <w:t xml:space="preserve">Maximum fee.</w:t>
        <w:t xml:space="preserve"> </w:t>
      </w:r>
      <w:r>
        <w:t xml:space="preserve"> </w:t>
      </w:r>
      <w:r>
        <w:t xml:space="preserve">The commissioner shall set the actual fees and shall publish a schedule of all fees by November 1st of each year.  If the commissioner determines that a particular application, by virtue of its size, uniqueness, complexity or other relevant factors, is likely to require significantly more costs than those listed on Table I, the commissioner may designate that application as subject to special fees.  Such a designation must be made at, or prior to, the time the application is accepted as complete and may not be based solely on the likelihood of extensive public controversy.  The maximum fee for processing an application may not exceed $250,000, except that the maximum fee for processing an application under </w:t>
      </w:r>
      <w:r>
        <w:t>chapter 3, subchapter 1, article 9</w:t>
      </w:r>
      <w:r>
        <w:t xml:space="preserve"> is as provided for in </w:t>
      </w:r>
      <w:r>
        <w:t>subsection 4‑A</w:t>
      </w:r>
      <w:r>
        <w:t xml:space="preserve">.  All staff of the department, the Department of Inland Fisheries and Wildlife, the Department of Agriculture, Conservation and Forestry and the Department of Marine Resources who have worked on the review of the application, including, but not limited to, preapplication consultations, shall submit quarterly reports to the commissioner detailing the time spent on the application and all expenses attributable to the application, including the costs of any appeals filed by the applicant and, after taking into consideration the interest of fairness and equity, any other appeals if the commissioner finds it in the public interest to do so.  Any appeal filed by the applicant of an application fee must be to the agency of jurisdiction of the application.  The costs associated with assistance to the board on an appeal before the board may be separately charged.  The processing fee for that application must be the actual cost to the department, the Department of Inland Fisheries and Wildlife, the Department of Agriculture, Conservation and Forestry and the Department of Marine Resources.  The processing fee must be distributed to each department that incurs a cost to be deposited in the account in which the expenses were incurred in that department to reimburse the actual cost to that department.  The applicant must be billed quarterly and all fees paid prior to receipt of the permit.  At the time of the quarterly billing by the department, the commissioner shall review the ongoing work of the department to identify, prevent and mitigate undue delays or vague requirements of the application processing.  Nothing in this section limits the commissioner's authority to enter into an agreement with an applicant for payment of costs in excess of the maximum fee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§10 (AMD); PL 2011, c. 653, §33 (AFF); PL 2011, c. 657, Pt. W, §5 (REV).]</w:t>
      </w:r>
    </w:p>
    <w:p>
      <w:pPr>
        <w:jc w:val="both"/>
        <w:spacing w:before="100" w:after="0"/>
        <w:ind w:start="360"/>
        <w:ind w:firstLine="360"/>
      </w:pPr>
      <w:r>
        <w:rPr>
          <w:b/>
        </w:rPr>
        <w:t>4</w:t>
        <w:t xml:space="preserve">.  </w:t>
      </w:r>
      <w:r>
        <w:rPr>
          <w:b/>
        </w:rPr>
        <w:t xml:space="preserve">Accounting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§11 (RP).]</w:t>
      </w:r>
    </w:p>
    <w:p>
      <w:pPr>
        <w:jc w:val="both"/>
        <w:spacing w:before="100" w:after="100"/>
        <w:ind w:start="360"/>
        <w:ind w:firstLine="360"/>
      </w:pPr>
      <w:r>
        <w:rPr>
          <w:b/>
        </w:rPr>
        <w:t>4-A</w:t>
        <w:t xml:space="preserve">.  </w:t>
      </w:r>
      <w:r>
        <w:rPr>
          <w:b/>
        </w:rPr>
        <w:t xml:space="preserve">Fees for metallic mineral mining.</w:t>
        <w:t xml:space="preserve"> </w:t>
      </w:r>
      <w:r>
        <w:t xml:space="preserve"> </w:t>
      </w:r>
      <w:r>
        <w:t xml:space="preserve">Metallic mineral mining permit applications under </w:t>
      </w:r>
      <w:r>
        <w:t>chapter 3, subchapter 1, article 9</w:t>
      </w:r>
      <w:r>
        <w:t xml:space="preserve"> are subject to the following fees.  Fees under this subsection must be deposited in the Metallic Mining Fund, Other Special Revenue Funds subaccount.</w:t>
      </w:r>
    </w:p>
    <w:p>
      <w:pPr>
        <w:jc w:val="both"/>
        <w:spacing w:before="100" w:after="0"/>
        <w:ind w:start="720"/>
      </w:pPr>
      <w:r>
        <w:rPr/>
        <w:t>A</w:t>
        <w:t xml:space="preserve">.  </w:t>
      </w:r>
      <w:r>
        <w:rPr/>
      </w:r>
      <w:r>
        <w:t xml:space="preserve">The initial processing fee is $500,000.</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B</w:t>
        <w:t xml:space="preserve">.  </w:t>
      </w:r>
      <w:r>
        <w:rPr/>
      </w:r>
      <w:r>
        <w:t xml:space="preserve">Preapplication and processing fees are special fees subject to </w:t>
      </w:r>
      <w:r>
        <w:t>subsection 3</w:t>
      </w:r>
      <w:r>
        <w:t xml:space="preserve">.  The maximum fee for processing an application must be discussed by the department and the applicant during preapplication meetings.  If the applicant does not agree to the maximum fee as determined by the commissioner, the refund provisions of </w:t>
      </w:r>
      <w:r>
        <w:t>paragraph F</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C</w:t>
        <w:t xml:space="preserve">.  </w:t>
      </w:r>
      <w:r>
        <w:rPr/>
      </w:r>
      <w:r>
        <w:t xml:space="preserve">The costs associated with the department's preparation for and attendance at any application proceeding held by the board, including the costs associated with assistance to the board, must be paid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D</w:t>
        <w:t xml:space="preserve">.  </w:t>
      </w:r>
      <w:r>
        <w:rPr/>
      </w:r>
      <w:r>
        <w:t xml:space="preserve">The costs associated with the department's assistance to the board on an appeal by the applicant before the board must be paid by the applicant and may be separately charged to the applicant by the department.  The costs associated with the department's assistance to the board on an appeal by a person other than the applicant before the board may not be charged to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w:pPr>
        <w:jc w:val="both"/>
        <w:spacing w:before="100" w:after="0"/>
        <w:ind w:start="720"/>
      </w:pPr>
      <w:r>
        <w:rPr/>
        <w:t>E</w:t>
        <w:t xml:space="preserve">.  </w:t>
      </w:r>
      <w:r>
        <w:rPr/>
      </w:r>
      <w:r>
        <w:t xml:space="preserve">The annual license fee must be at least $20,000 and may not exceed $50,000 and must be set by the department prior to the issuance of the permit.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w:pPr>
        <w:jc w:val="both"/>
        <w:spacing w:before="100" w:after="0"/>
        <w:ind w:start="720"/>
      </w:pPr>
      <w:r>
        <w:rPr/>
        <w:t>F</w:t>
        <w:t xml:space="preserve">.  </w:t>
      </w:r>
      <w:r>
        <w:rPr/>
      </w:r>
      <w:r>
        <w:t xml:space="preserve">If at any time the application is withdrawn by the applicant, the department shall calculate the portion of the processing fee that was expended or committed by the department or the department's agents or contractors for processing the application prior to the withdrawal and the remainder of the processing fee not expended or committed must be refunded to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§11 (RPR); PL 2011, c. 653, §33 (AFF).]</w:t>
      </w:r>
    </w:p>
    <w:p>
      <w:pPr>
        <w:jc w:val="both"/>
        <w:spacing w:before="100" w:after="0"/>
        <w:ind w:start="360"/>
        <w:ind w:firstLine="360"/>
      </w:pPr>
      <w:r>
        <w:rPr>
          <w:b/>
        </w:rPr>
        <w:t>5</w:t>
        <w:t xml:space="preserve">.  </w:t>
      </w:r>
      <w:r>
        <w:rPr>
          <w:b/>
        </w:rPr>
        <w:t xml:space="preserve">Maximum fees after 1991.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§82 (RP).]</w:t>
      </w:r>
    </w:p>
    <w:p>
      <w:pPr>
        <w:jc w:val="both"/>
        <w:spacing w:before="100" w:after="100"/>
        <w:ind w:start="360"/>
        <w:ind w:firstLine="360"/>
      </w:pPr>
      <w:r>
        <w:rPr>
          <w:b/>
        </w:rPr>
        <w:t>5-A</w:t>
        <w:t xml:space="preserve">.  </w:t>
      </w:r>
      <w:r>
        <w:rPr>
          <w:b/>
        </w:rPr>
        <w:t xml:space="preserve">Accounting system.</w:t>
        <w:t xml:space="preserve"> </w:t>
      </w:r>
      <w:r>
        <w:t xml:space="preserve"> </w:t>
      </w:r>
      <w:r>
        <w:t xml:space="preserve">In order to determine the extent to which the functions set out in this section are necessary for the licensing process or are being performed in an efficient and expeditious manner, the commissioner shall require that all employees of the department involved in any aspect of these functions keep accurate and regular daily time records.  These records must describe the matters worked on, services performed and the amount of time devoted to those matters and services, as well as amounts of money expended in performing those functions.  Records must be kept for a sufficient duration of time as determined by the commissioner to establish to the commissioner's satisfaction that the fees are appropriate.</w:t>
      </w:r>
    </w:p>
    <w:p xmlns:wp="http://schemas.openxmlformats.org/drawingml/2010/wordprocessingDrawing" xmlns:w15="http://schemas.microsoft.com/office/word/2012/wordml">
      <w:pPr>
        <w:spacing w:before="100" w:after="100"/>
        <w:ind w:start="360"/>
        <w:jc w:val="center"/>
      </w:pPr>
      <w:r>
        <w:t xml:space="preserve">TABLE I</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MAXIMUM FEES IN DOLLARS</w:t>
      </w:r>
    </w:p>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5040"/>
        <w:gridCol w:w="1714"/>
        <w:gridCol w:w="2030"/>
      </w:tblGrid>
      <w:tr>
        <w:trPr>
          <w:cantSplit/>
        </w:trPr>
        <w:tc>
          <w:tcPr>
            <w:tcW w:w="5256" w:type="dxa"/>
            <w:gridSpan w:val="2"/>
          </w:tcPr>
          <w:p>
            <w:pPr>
              <w:jc w:val="left"/>
            </w:pPr>
            <w:r>
              <w:t>TITLE 36</w:t>
            </w:r>
            <w:r>
              <w:t xml:space="preserve"> SECTION </w:t>
            </w:r>
          </w:p>
        </w:tc>
        <w:tc>
          <w:tcPr>
            <w:tcW w:w="1714" w:type="dxa"/>
          </w:tcPr>
          <w:p>
            <w:pPr>
              <w:jc w:val="center"/>
            </w:pPr>
            <w:r>
              <w:t xml:space="preserve">PROCESSING FEE</w:t>
            </w:r>
          </w:p>
        </w:tc>
        <w:tc>
          <w:tcPr>
            <w:tcW w:w="2030" w:type="dxa"/>
          </w:tcPr>
          <w:p>
            <w:pPr>
              <w:jc w:val="center"/>
            </w:pPr>
            <w:r>
              <w:t xml:space="preserve">CERTIFICATION FEE</w:t>
            </w:r>
          </w:p>
        </w:tc>
      </w:tr>
      <w:tr>
        <w:trPr>
          <w:cantSplit/>
        </w:trPr>
        <w:tc>
          <w:tcPr>
            <w:tcW w:w="216" w:type="dxa"/>
          </w:tcPr>
          <w:p>
            <w:pPr>
              <w:jc w:val="both"/>
            </w:pPr>
          </w:p>
        </w:tc>
        <w:tc>
          <w:tcPr>
            <w:tcW w:w="5040" w:type="dxa"/>
          </w:tcPr>
          <w:p>
            <w:pPr>
              <w:jc w:val="both"/>
            </w:pPr>
          </w:p>
        </w:tc>
        <w:tc>
          <w:tcPr>
            <w:tcW w:w="1714" w:type="dxa"/>
          </w:tcPr>
          <w:p>
            <w:pPr>
              <w:jc w:val="both"/>
            </w:pPr>
          </w:p>
        </w:tc>
      </w:tr>
      <w:tr>
        <w:trPr>
          <w:cantSplit/>
        </w:trPr>
        <w:tc>
          <w:tcPr>
            <w:tcW w:w="5256" w:type="dxa"/>
            <w:gridSpan w:val="2"/>
          </w:tcPr>
          <w:p>
            <w:pPr>
              <w:jc w:val="left"/>
            </w:pPr>
            <w:r>
              <w:t>656, sub‑§1, ¶E</w:t>
            </w:r>
            <w:r>
              <w:t xml:space="preserve">, Pollution Control Facilities</w:t>
            </w:r>
          </w:p>
        </w:tc>
        <w:tc>
          <w:tcPr>
            <w:tcW w:w="1714" w:type="dxa"/>
          </w:tcPr>
          <w:p>
            <w:pPr>
              <w:jc w:val="both"/>
            </w:pPr>
          </w:p>
        </w:tc>
        <w:tc>
          <w:tcPr>
            <w:tcW w:w="2030" w:type="dxa"/>
          </w:tcPr>
          <w:p>
            <w:pPr>
              <w:jc w:val="both"/>
            </w:pPr>
          </w:p>
        </w:tc>
      </w:tr>
      <w:tr>
        <w:trPr>
          <w:cantSplit/>
        </w:trPr>
        <w:tc>
          <w:tcPr>
            <w:tcW w:w="216" w:type="dxa"/>
          </w:tcPr>
          <w:p>
            <w:pPr>
              <w:jc w:val="both"/>
            </w:pPr>
          </w:p>
        </w:tc>
        <w:tc>
          <w:tcPr>
            <w:tcW w:w="5040" w:type="dxa"/>
          </w:tcPr>
          <w:p>
            <w:pPr>
              <w:jc w:val="left"/>
            </w:pPr>
            <w:r>
              <w:t xml:space="preserve">A.  Water pollution control facilities with capacities at least 4,000 gallons of waste per day and </w:t>
            </w:r>
            <w:r>
              <w:t>§1760, sub‑§29</w:t>
            </w:r>
            <w:r>
              <w:t xml:space="preserve">, water pollution control facilities</w:t>
            </w:r>
          </w:p>
        </w:tc>
        <w:tc>
          <w:tcPr>
            <w:tcW w:w="1714" w:type="dxa"/>
          </w:tcPr>
          <w:p>
            <w:pPr>
              <w:jc w:val="right"/>
            </w:pPr>
            <w:r>
              <w:t xml:space="preserve">$250</w:t>
            </w:r>
          </w:p>
        </w:tc>
        <w:tc>
          <w:tcPr>
            <w:tcW w:w="2030" w:type="dxa"/>
          </w:tcPr>
          <w:p>
            <w:pPr>
              <w:jc w:val="right"/>
            </w:pPr>
            <w:r>
              <w:t xml:space="preserve">$20</w:t>
            </w:r>
          </w:p>
        </w:tc>
      </w:tr>
      <w:tr>
        <w:trPr>
          <w:cantSplit/>
        </w:trPr>
        <w:tc>
          <w:tcPr>
            <w:tcW w:w="216" w:type="dxa"/>
          </w:tcPr>
          <w:p>
            <w:pPr>
              <w:jc w:val="both"/>
            </w:pPr>
          </w:p>
        </w:tc>
        <w:tc>
          <w:tcPr>
            <w:tcW w:w="5040" w:type="dxa"/>
          </w:tcPr>
          <w:p>
            <w:pPr>
              <w:jc w:val="left"/>
            </w:pPr>
            <w:r>
              <w:t xml:space="preserve">B.  Air pollution control and </w:t>
            </w:r>
            <w:r>
              <w:t>§1760, sub‑§30</w:t>
            </w:r>
            <w:r>
              <w:t xml:space="preserve">, air pollution control facilities</w:t>
            </w:r>
          </w:p>
        </w:tc>
        <w:tc>
          <w:tcPr>
            <w:tcW w:w="1714" w:type="dxa"/>
          </w:tcPr>
          <w:p>
            <w:pPr>
              <w:jc w:val="right"/>
            </w:pPr>
            <w:r>
              <w:t xml:space="preserve">250</w:t>
            </w:r>
          </w:p>
        </w:tc>
        <w:tc>
          <w:tcPr>
            <w:tcW w:w="2030" w:type="dxa"/>
          </w:tcPr>
          <w:p>
            <w:pPr>
              <w:jc w:val="right"/>
            </w:pPr>
            <w:r>
              <w:t xml:space="preserve">20</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59"/>
        <w:gridCol w:w="274"/>
        <w:gridCol w:w="2736"/>
        <w:gridCol w:w="2837"/>
        <w:gridCol w:w="230"/>
        <w:gridCol w:w="2434"/>
      </w:tblGrid>
      <w:tr>
        <w:trPr>
          <w:cantSplit/>
        </w:trPr>
        <w:tc>
          <w:tcPr>
            <w:tcW w:w="3485" w:type="dxa"/>
            <w:gridSpan w:val="4"/>
          </w:tcPr>
          <w:p>
            <w:pPr>
              <w:jc w:val="left"/>
            </w:pPr>
            <w:r>
              <w:t>TITLE 38</w:t>
            </w:r>
            <w:r>
              <w:t xml:space="preserve"> SECTION</w:t>
            </w:r>
          </w:p>
        </w:tc>
        <w:tc>
          <w:tcPr>
            <w:tcW w:w="2837" w:type="dxa"/>
          </w:tcPr>
          <w:p>
            <w:pPr>
              <w:jc w:val="center"/>
            </w:pPr>
            <w:r>
              <w:t xml:space="preserve">PROCESSING FEE</w:t>
            </w:r>
          </w:p>
        </w:tc>
        <w:tc>
          <w:tcPr>
            <w:tcW w:w="230" w:type="dxa"/>
          </w:tcPr>
          <w:p>
            <w:pPr>
              <w:jc w:val="both"/>
            </w:pPr>
          </w:p>
        </w:tc>
        <w:tc>
          <w:tcPr>
            <w:tcW w:w="2434" w:type="dxa"/>
          </w:tcPr>
          <w:p>
            <w:pPr>
              <w:jc w:val="center"/>
            </w:pPr>
            <w:r>
              <w:t xml:space="preserve">LICENSE FEE</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both"/>
            </w:pPr>
          </w:p>
        </w:tc>
        <w:tc>
          <w:tcPr>
            <w:tcW w:w="2837" w:type="dxa"/>
          </w:tcPr>
          <w:p>
            <w:pPr>
              <w:jc w:val="both"/>
            </w:pPr>
          </w:p>
        </w:tc>
        <w:tc>
          <w:tcPr>
            <w:tcW w:w="230" w:type="dxa"/>
          </w:tcPr>
          <w:p>
            <w:pPr>
              <w:jc w:val="both"/>
            </w:pPr>
          </w:p>
        </w:tc>
        <w:tc>
          <w:tcPr>
            <w:tcW w:w="2434" w:type="dxa"/>
          </w:tcPr>
          <w:p>
            <w:pPr>
              <w:jc w:val="both"/>
            </w:pPr>
          </w:p>
        </w:tc>
      </w:tr>
      <w:tr>
        <w:trPr>
          <w:cantSplit/>
        </w:trPr>
        <w:tc>
          <w:tcPr>
            <w:tcW w:w="3485" w:type="dxa"/>
            <w:gridSpan w:val="4"/>
          </w:tcPr>
          <w:p>
            <w:pPr>
              <w:jc w:val="left"/>
            </w:pPr>
            <w:r>
              <w:t>344, sub‑§7</w:t>
            </w:r>
            <w:r>
              <w:t xml:space="preserve">, Permit by rule</w:t>
            </w:r>
          </w:p>
        </w:tc>
        <w:tc>
          <w:tcPr>
            <w:tcW w:w="2837" w:type="dxa"/>
          </w:tcPr>
          <w:p>
            <w:pPr>
              <w:jc w:val="right"/>
            </w:pPr>
            <w:r>
              <w:t xml:space="preserve">$250</w:t>
            </w:r>
          </w:p>
        </w:tc>
        <w:tc>
          <w:tcPr>
            <w:tcW w:w="230" w:type="dxa"/>
          </w:tcPr>
          <w:p>
            <w:pPr>
              <w:jc w:val="both"/>
            </w:pPr>
          </w:p>
        </w:tc>
        <w:tc>
          <w:tcPr>
            <w:tcW w:w="2434" w:type="dxa"/>
          </w:tcPr>
          <w:p>
            <w:pPr>
              <w:jc w:val="right"/>
            </w:pPr>
            <w:r>
              <w:t xml:space="preserve">$0</w:t>
            </w:r>
          </w:p>
        </w:tc>
      </w:tr>
      <w:tr>
        <w:trPr>
          <w:cantSplit/>
        </w:trPr>
        <w:tc>
          <w:tcPr>
            <w:tcW w:w="3485" w:type="dxa"/>
            <w:gridSpan w:val="4"/>
          </w:tcPr>
          <w:p>
            <w:pPr>
              <w:jc w:val="left"/>
            </w:pPr>
            <w:r>
              <w:t>413</w:t>
            </w:r>
            <w:r>
              <w:t xml:space="preserve">, Waste discharge licenses</w:t>
            </w:r>
          </w:p>
        </w:tc>
        <w:tc>
          <w:tcPr>
            <w:tcW w:w="5501" w:type="dxa"/>
            <w:gridSpan w:val="3"/>
          </w:tcPr>
          <w:p>
            <w:pPr>
              <w:jc w:val="center"/>
            </w:pPr>
            <w:r>
              <w:t xml:space="preserve">See </w:t>
            </w:r>
            <w:r>
              <w:t>section 353‑B</w:t>
            </w:r>
          </w:p>
        </w:tc>
      </w:tr>
      <w:tr>
        <w:trPr>
          <w:cantSplit/>
        </w:trPr>
        <w:tc>
          <w:tcPr>
            <w:tcW w:w="3485" w:type="dxa"/>
            <w:gridSpan w:val="4"/>
          </w:tcPr>
          <w:p>
            <w:pPr>
              <w:jc w:val="left"/>
            </w:pPr>
            <w:r>
              <w:t>420‑D</w:t>
            </w:r>
            <w:r>
              <w:t xml:space="preserve">, Storm water management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If structural means of storm water control are used</w:t>
            </w:r>
          </w:p>
        </w:tc>
        <w:tc>
          <w:tcPr>
            <w:tcW w:w="2837" w:type="dxa"/>
          </w:tcPr>
          <w:p>
            <w:pPr>
              <w:jc w:val="left"/>
            </w:pPr>
            <w:r>
              <w:t xml:space="preserve">$400 for the first acre of disturbed area, plus $200 for each additional whole acre of disturbed area</w:t>
            </w:r>
          </w:p>
        </w:tc>
        <w:tc>
          <w:tcPr>
            <w:tcW w:w="230" w:type="dxa"/>
          </w:tcPr>
          <w:p>
            <w:pPr>
              <w:jc w:val="both"/>
            </w:pPr>
          </w:p>
        </w:tc>
        <w:tc>
          <w:tcPr>
            <w:tcW w:w="2434" w:type="dxa"/>
          </w:tcPr>
          <w:p>
            <w:pPr>
              <w:jc w:val="left"/>
            </w:pPr>
            <w:r>
              <w:t xml:space="preserve">$100 for the first acre of disturbed area, plus $50 for each additional whole acre of disturbed area</w:t>
            </w:r>
          </w:p>
        </w:tc>
      </w:tr>
      <w:tr>
        <w:trPr>
          <w:cantSplit/>
        </w:trPr>
        <w:tc>
          <w:tcPr>
            <w:tcW w:w="216" w:type="dxa"/>
          </w:tcPr>
          <w:p>
            <w:pPr>
              <w:jc w:val="both"/>
            </w:pPr>
          </w:p>
        </w:tc>
        <w:tc>
          <w:tcPr>
            <w:tcW w:w="3269" w:type="dxa"/>
            <w:gridSpan w:val="3"/>
          </w:tcPr>
          <w:p>
            <w:pPr>
              <w:jc w:val="left"/>
            </w:pPr>
            <w:r>
              <w:t xml:space="preserve">B. If solely vegetative means of storm water control are used</w:t>
            </w:r>
          </w:p>
        </w:tc>
        <w:tc>
          <w:tcPr>
            <w:tcW w:w="2837" w:type="dxa"/>
          </w:tcPr>
          <w:p>
            <w:pPr>
              <w:jc w:val="left"/>
            </w:pPr>
            <w:r>
              <w:t xml:space="preserve">$200 for the first acre of disturbed area, plus $100 for each additional whole acre of disturbed area</w:t>
            </w:r>
          </w:p>
        </w:tc>
        <w:tc>
          <w:tcPr>
            <w:tcW w:w="230" w:type="dxa"/>
          </w:tcPr>
          <w:p>
            <w:pPr>
              <w:jc w:val="both"/>
            </w:pPr>
          </w:p>
        </w:tc>
        <w:tc>
          <w:tcPr>
            <w:tcW w:w="2434" w:type="dxa"/>
          </w:tcPr>
          <w:p>
            <w:pPr>
              <w:jc w:val="left"/>
            </w:pPr>
            <w:r>
              <w:t xml:space="preserve">$50 for the first acre of disturbed area, plus $25 for each additional whole acre of disturbed area</w:t>
            </w:r>
          </w:p>
        </w:tc>
      </w:tr>
      <w:tr>
        <w:trPr>
          <w:cantSplit/>
        </w:trPr>
        <w:tc>
          <w:tcPr>
            <w:tcW w:w="216" w:type="dxa"/>
          </w:tcPr>
          <w:p>
            <w:pPr>
              <w:jc w:val="both"/>
            </w:pPr>
          </w:p>
        </w:tc>
        <w:tc>
          <w:tcPr>
            <w:tcW w:w="3269" w:type="dxa"/>
            <w:gridSpan w:val="3"/>
          </w:tcPr>
          <w:p>
            <w:pPr>
              <w:jc w:val="left"/>
            </w:pPr>
            <w:r>
              <w:t xml:space="preserve">C. When a permit by rule is required</w:t>
            </w:r>
          </w:p>
        </w:tc>
        <w:tc>
          <w:tcPr>
            <w:tcW w:w="2837" w:type="dxa"/>
          </w:tcPr>
          <w:p>
            <w:pPr>
              <w:jc w:val="right"/>
            </w:pPr>
            <w:r>
              <w:t xml:space="preserve">$55</w:t>
            </w:r>
          </w:p>
        </w:tc>
        <w:tc>
          <w:tcPr>
            <w:tcW w:w="230" w:type="dxa"/>
          </w:tcPr>
          <w:p>
            <w:pPr>
              <w:jc w:val="both"/>
            </w:pPr>
          </w:p>
        </w:tc>
        <w:tc>
          <w:tcPr>
            <w:tcW w:w="2434" w:type="dxa"/>
          </w:tcPr>
          <w:p>
            <w:pPr>
              <w:jc w:val="right"/>
            </w:pPr>
            <w:r>
              <w:t xml:space="preserve">none</w:t>
            </w:r>
          </w:p>
        </w:tc>
      </w:tr>
      <w:tr>
        <w:trPr>
          <w:cantSplit/>
        </w:trPr>
        <w:tc>
          <w:tcPr>
            <w:tcW w:w="216" w:type="dxa"/>
          </w:tcPr>
          <w:p>
            <w:pPr>
              <w:jc w:val="both"/>
            </w:pPr>
          </w:p>
        </w:tc>
        <w:tc>
          <w:tcPr>
            <w:tcW w:w="8770" w:type="dxa"/>
            <w:gridSpan w:val="6"/>
          </w:tcPr>
          <w:p>
            <w:pPr>
              <w:jc w:val="left"/>
            </w:pPr>
            <w:r>
              <w:t xml:space="preserve">If a project described in paragraph A or B is reviewed and approved by a professional engineer at a soil and water conservation district office that has a memorandum of understanding with the department concerning review of projects pursuant to this section, the total applicable fee is reduced to a processing fee of $100 for the first acre of disturbed area, plus a license fee of $50 for each additional whole acre of disturbed area.</w:t>
            </w:r>
          </w:p>
        </w:tc>
      </w:tr>
      <w:tr>
        <w:trPr>
          <w:cantSplit/>
        </w:trPr>
        <w:tc>
          <w:tcPr>
            <w:tcW w:w="3485" w:type="dxa"/>
            <w:gridSpan w:val="4"/>
          </w:tcPr>
          <w:p>
            <w:pPr>
              <w:jc w:val="left"/>
            </w:pPr>
            <w:r>
              <w:t>480‑E</w:t>
            </w:r>
            <w:r>
              <w:t xml:space="preserve">, Natural resources protection</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Any alteration of a protected natural resource, except coastal wetlands and coastal sand dunes, causing less than 20,000 square feet of alteration of the resource</w:t>
            </w:r>
          </w:p>
        </w:tc>
        <w:tc>
          <w:tcPr>
            <w:tcW w:w="2837" w:type="dxa"/>
          </w:tcPr>
          <w:p>
            <w:pPr>
              <w:jc w:val="right"/>
            </w:pPr>
            <w:r>
              <w:t xml:space="preserve">140</w:t>
            </w:r>
          </w:p>
        </w:tc>
        <w:tc>
          <w:tcPr>
            <w:tcW w:w="230" w:type="dxa"/>
          </w:tcPr>
          <w:p>
            <w:pPr>
              <w:jc w:val="both"/>
            </w:pPr>
          </w:p>
        </w:tc>
        <w:tc>
          <w:tcPr>
            <w:tcW w:w="2434" w:type="dxa"/>
          </w:tcPr>
          <w:p>
            <w:pPr>
              <w:jc w:val="right"/>
            </w:pPr>
            <w:r>
              <w:t xml:space="preserve">50</w:t>
            </w:r>
          </w:p>
        </w:tc>
      </w:tr>
      <w:tr>
        <w:trPr>
          <w:cantSplit/>
        </w:trPr>
        <w:tc>
          <w:tcPr>
            <w:tcW w:w="216" w:type="dxa"/>
          </w:tcPr>
          <w:p>
            <w:pPr>
              <w:jc w:val="both"/>
            </w:pPr>
          </w:p>
        </w:tc>
        <w:tc>
          <w:tcPr>
            <w:tcW w:w="3269" w:type="dxa"/>
            <w:gridSpan w:val="3"/>
          </w:tcPr>
          <w:p>
            <w:pPr>
              <w:jc w:val="left"/>
            </w:pPr>
            <w:r>
              <w:t xml:space="preserve">B.  Any alteration of a coastal wetland causing less than 20,000 square feet of alteration of the resource</w:t>
            </w:r>
          </w:p>
        </w:tc>
        <w:tc>
          <w:tcPr>
            <w:tcW w:w="2837" w:type="dxa"/>
          </w:tcPr>
          <w:p>
            <w:pPr>
              <w:jc w:val="right"/>
            </w:pPr>
            <w:r>
              <w:t xml:space="preserve">240</w:t>
            </w:r>
          </w:p>
        </w:tc>
        <w:tc>
          <w:tcPr>
            <w:tcW w:w="230" w:type="dxa"/>
          </w:tcPr>
          <w:p>
            <w:pPr>
              <w:jc w:val="both"/>
            </w:pPr>
          </w:p>
        </w:tc>
        <w:tc>
          <w:tcPr>
            <w:tcW w:w="2434" w:type="dxa"/>
          </w:tcPr>
          <w:p>
            <w:pPr>
              <w:jc w:val="right"/>
            </w:pPr>
            <w:r>
              <w:t xml:space="preserve">60</w:t>
            </w:r>
          </w:p>
        </w:tc>
      </w:tr>
      <w:tr>
        <w:trPr>
          <w:cantSplit/>
        </w:trPr>
        <w:tc>
          <w:tcPr>
            <w:tcW w:w="216" w:type="dxa"/>
          </w:tcPr>
          <w:p>
            <w:pPr>
              <w:jc w:val="both"/>
            </w:pPr>
          </w:p>
        </w:tc>
        <w:tc>
          <w:tcPr>
            <w:tcW w:w="3269" w:type="dxa"/>
            <w:gridSpan w:val="3"/>
          </w:tcPr>
          <w:p>
            <w:pPr>
              <w:jc w:val="left"/>
            </w:pPr>
            <w:r>
              <w:t xml:space="preserve">C.  Any alteration of a protected natural resource, except coastal sand dunes, causing 20,000 square feet or more of alteration of the resource</w:t>
            </w:r>
          </w:p>
        </w:tc>
        <w:tc>
          <w:tcPr>
            <w:tcW w:w="2837" w:type="dxa"/>
          </w:tcPr>
          <w:p>
            <w:pPr>
              <w:jc w:val="right"/>
            </w:pPr>
            <w:r>
              <w:t xml:space="preserve">.015/sq. ft. alteration</w:t>
            </w:r>
          </w:p>
        </w:tc>
        <w:tc>
          <w:tcPr>
            <w:tcW w:w="230" w:type="dxa"/>
          </w:tcPr>
          <w:p>
            <w:pPr>
              <w:jc w:val="both"/>
            </w:pPr>
          </w:p>
        </w:tc>
        <w:tc>
          <w:tcPr>
            <w:tcW w:w="2434" w:type="dxa"/>
          </w:tcPr>
          <w:p>
            <w:pPr>
              <w:jc w:val="right"/>
            </w:pPr>
            <w:r>
              <w:t xml:space="preserve">.005/sq. ft. alteration</w:t>
            </w:r>
          </w:p>
        </w:tc>
      </w:tr>
      <w:tr>
        <w:trPr>
          <w:cantSplit/>
        </w:trPr>
        <w:tc>
          <w:tcPr>
            <w:tcW w:w="216" w:type="dxa"/>
          </w:tcPr>
          <w:p>
            <w:pPr>
              <w:jc w:val="both"/>
            </w:pPr>
          </w:p>
        </w:tc>
        <w:tc>
          <w:tcPr>
            <w:tcW w:w="3269" w:type="dxa"/>
            <w:gridSpan w:val="3"/>
          </w:tcPr>
          <w:p>
            <w:pPr>
              <w:jc w:val="left"/>
            </w:pPr>
            <w:r>
              <w:t xml:space="preserve">C-1.  Significant groundwater well</w:t>
            </w:r>
          </w:p>
        </w:tc>
        <w:tc>
          <w:tcPr>
            <w:tcW w:w="2837" w:type="dxa"/>
          </w:tcPr>
          <w:p>
            <w:pPr>
              <w:jc w:val="right"/>
            </w:pPr>
            <w:r>
              <w:t xml:space="preserve">4,577</w:t>
            </w:r>
          </w:p>
        </w:tc>
        <w:tc>
          <w:tcPr>
            <w:tcW w:w="230" w:type="dxa"/>
          </w:tcPr>
          <w:p>
            <w:pPr>
              <w:jc w:val="both"/>
            </w:pPr>
          </w:p>
        </w:tc>
        <w:tc>
          <w:tcPr>
            <w:tcW w:w="2434" w:type="dxa"/>
          </w:tcPr>
          <w:p>
            <w:pPr>
              <w:jc w:val="right"/>
            </w:pPr>
            <w:r>
              <w:t xml:space="preserve">1,961</w:t>
            </w:r>
          </w:p>
        </w:tc>
      </w:tr>
      <w:tr>
        <w:trPr>
          <w:cantSplit/>
        </w:trPr>
        <w:tc>
          <w:tcPr>
            <w:tcW w:w="216" w:type="dxa"/>
          </w:tcPr>
          <w:p>
            <w:pPr>
              <w:jc w:val="both"/>
            </w:pPr>
          </w:p>
        </w:tc>
        <w:tc>
          <w:tcPr>
            <w:tcW w:w="3269" w:type="dxa"/>
            <w:gridSpan w:val="3"/>
          </w:tcPr>
          <w:p>
            <w:pPr>
              <w:jc w:val="left"/>
            </w:pPr>
            <w:r>
              <w:t xml:space="preserve">C-2.  Activity within a community public water supply primary protection area</w:t>
            </w:r>
          </w:p>
        </w:tc>
        <w:tc>
          <w:tcPr>
            <w:tcW w:w="2837" w:type="dxa"/>
          </w:tcPr>
          <w:p>
            <w:pPr>
              <w:jc w:val="right"/>
            </w:pPr>
            <w:r>
              <w:t xml:space="preserve">183</w:t>
            </w:r>
          </w:p>
        </w:tc>
        <w:tc>
          <w:tcPr>
            <w:tcW w:w="230" w:type="dxa"/>
          </w:tcPr>
          <w:p>
            <w:pPr>
              <w:jc w:val="both"/>
            </w:pPr>
          </w:p>
        </w:tc>
        <w:tc>
          <w:tcPr>
            <w:tcW w:w="2434" w:type="dxa"/>
          </w:tcPr>
          <w:p>
            <w:pPr>
              <w:jc w:val="right"/>
            </w:pPr>
            <w:r>
              <w:t xml:space="preserve">64</w:t>
            </w:r>
          </w:p>
        </w:tc>
      </w:tr>
      <w:tr>
        <w:trPr>
          <w:cantSplit/>
        </w:trPr>
        <w:tc>
          <w:tcPr>
            <w:tcW w:w="216" w:type="dxa"/>
          </w:tcPr>
          <w:p>
            <w:pPr>
              <w:jc w:val="both"/>
            </w:pPr>
          </w:p>
        </w:tc>
        <w:tc>
          <w:tcPr>
            <w:tcW w:w="3269" w:type="dxa"/>
            <w:gridSpan w:val="3"/>
          </w:tcPr>
          <w:p>
            <w:pPr>
              <w:jc w:val="left"/>
            </w:pPr>
            <w:r>
              <w:t xml:space="preserve">D.  Any alteration of a coastal sand dune</w:t>
            </w:r>
          </w:p>
        </w:tc>
        <w:tc>
          <w:tcPr>
            <w:tcW w:w="2837" w:type="dxa"/>
          </w:tcPr>
          <w:p>
            <w:pPr>
              <w:jc w:val="right"/>
            </w:pPr>
            <w:r>
              <w:t xml:space="preserve">3,500</w:t>
            </w:r>
          </w:p>
        </w:tc>
        <w:tc>
          <w:tcPr>
            <w:tcW w:w="230" w:type="dxa"/>
          </w:tcPr>
          <w:p>
            <w:pPr>
              <w:jc w:val="both"/>
            </w:pPr>
          </w:p>
        </w:tc>
        <w:tc>
          <w:tcPr>
            <w:tcW w:w="2434" w:type="dxa"/>
          </w:tcPr>
          <w:p>
            <w:pPr>
              <w:jc w:val="right"/>
            </w:pPr>
            <w:r>
              <w:t xml:space="preserve">1,500</w:t>
            </w:r>
          </w:p>
        </w:tc>
      </w:tr>
      <w:tr>
        <w:trPr>
          <w:cantSplit/>
        </w:trPr>
        <w:tc>
          <w:tcPr>
            <w:tcW w:w="216" w:type="dxa"/>
          </w:tcPr>
          <w:p>
            <w:pPr>
              <w:jc w:val="both"/>
            </w:pPr>
          </w:p>
        </w:tc>
        <w:tc>
          <w:tcPr>
            <w:tcW w:w="3269" w:type="dxa"/>
            <w:gridSpan w:val="3"/>
          </w:tcPr>
          <w:p>
            <w:pPr>
              <w:jc w:val="left"/>
            </w:pPr>
            <w:r>
              <w:t xml:space="preserve">E.  Condition compliance</w:t>
            </w:r>
          </w:p>
        </w:tc>
        <w:tc>
          <w:tcPr>
            <w:tcW w:w="2837" w:type="dxa"/>
          </w:tcPr>
          <w:p>
            <w:pPr>
              <w:jc w:val="right"/>
            </w:pPr>
            <w:r>
              <w:t xml:space="preserve">84</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F.  Minor modification</w:t>
            </w:r>
          </w:p>
        </w:tc>
        <w:tc>
          <w:tcPr>
            <w:tcW w:w="2837" w:type="dxa"/>
          </w:tcPr>
          <w:p>
            <w:pPr>
              <w:jc w:val="right"/>
            </w:pPr>
            <w:r>
              <w:t xml:space="preserve">184</w:t>
            </w:r>
          </w:p>
        </w:tc>
        <w:tc>
          <w:tcPr>
            <w:tcW w:w="230" w:type="dxa"/>
          </w:tcPr>
          <w:p>
            <w:pPr>
              <w:jc w:val="both"/>
            </w:pPr>
          </w:p>
        </w:tc>
        <w:tc>
          <w:tcPr>
            <w:tcW w:w="2434" w:type="dxa"/>
          </w:tcPr>
          <w:p>
            <w:pPr>
              <w:jc w:val="right"/>
            </w:pPr>
            <w:r>
              <w:t xml:space="preserve">0</w:t>
            </w:r>
          </w:p>
        </w:tc>
      </w:tr>
      <w:tr>
        <w:trPr>
          <w:cantSplit/>
        </w:trPr>
        <w:tc>
          <w:tcPr>
            <w:tcW w:w="3485" w:type="dxa"/>
            <w:gridSpan w:val="4"/>
          </w:tcPr>
          <w:p>
            <w:pPr>
              <w:jc w:val="left"/>
            </w:pPr>
            <w:r>
              <w:t>485‑A</w:t>
            </w:r>
            <w:r>
              <w:t xml:space="preserve">, Site location of development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Residential subdivisions</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Affordable housing</w:t>
            </w:r>
          </w:p>
        </w:tc>
        <w:tc>
          <w:tcPr>
            <w:tcW w:w="2837" w:type="dxa"/>
          </w:tcPr>
          <w:p>
            <w:pPr>
              <w:jc w:val="right"/>
            </w:pPr>
            <w:r>
              <w:t xml:space="preserve">50/lot</w:t>
            </w:r>
          </w:p>
        </w:tc>
        <w:tc>
          <w:tcPr>
            <w:tcW w:w="230" w:type="dxa"/>
          </w:tcPr>
          <w:p>
            <w:pPr>
              <w:jc w:val="both"/>
            </w:pPr>
          </w:p>
        </w:tc>
        <w:tc>
          <w:tcPr>
            <w:tcW w:w="2434" w:type="dxa"/>
          </w:tcPr>
          <w:p>
            <w:pPr>
              <w:jc w:val="right"/>
            </w:pPr>
            <w:r>
              <w:t xml:space="preserve">50/lot</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On public water and sewers</w:t>
            </w:r>
          </w:p>
        </w:tc>
        <w:tc>
          <w:tcPr>
            <w:tcW w:w="2837" w:type="dxa"/>
          </w:tcPr>
          <w:p>
            <w:pPr>
              <w:jc w:val="right"/>
            </w:pPr>
            <w:r>
              <w:t xml:space="preserve">175/lot</w:t>
            </w:r>
          </w:p>
        </w:tc>
        <w:tc>
          <w:tcPr>
            <w:tcW w:w="230" w:type="dxa"/>
          </w:tcPr>
          <w:p>
            <w:pPr>
              <w:jc w:val="both"/>
            </w:pPr>
          </w:p>
        </w:tc>
        <w:tc>
          <w:tcPr>
            <w:tcW w:w="2434" w:type="dxa"/>
          </w:tcPr>
          <w:p>
            <w:pPr>
              <w:jc w:val="right"/>
            </w:pPr>
            <w:r>
              <w:t xml:space="preserve">175/lot</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All Other</w:t>
            </w:r>
          </w:p>
        </w:tc>
        <w:tc>
          <w:tcPr>
            <w:tcW w:w="2837" w:type="dxa"/>
          </w:tcPr>
          <w:p>
            <w:pPr>
              <w:jc w:val="right"/>
            </w:pPr>
            <w:r>
              <w:t xml:space="preserve">250/lot</w:t>
            </w:r>
          </w:p>
        </w:tc>
        <w:tc>
          <w:tcPr>
            <w:tcW w:w="230" w:type="dxa"/>
          </w:tcPr>
          <w:p>
            <w:pPr>
              <w:jc w:val="both"/>
            </w:pPr>
          </w:p>
        </w:tc>
        <w:tc>
          <w:tcPr>
            <w:tcW w:w="2434" w:type="dxa"/>
          </w:tcPr>
          <w:p>
            <w:pPr>
              <w:jc w:val="right"/>
            </w:pPr>
            <w:r>
              <w:t xml:space="preserve">250/lot</w:t>
            </w:r>
          </w:p>
        </w:tc>
      </w:tr>
      <w:tr>
        <w:trPr>
          <w:cantSplit/>
        </w:trPr>
        <w:tc>
          <w:tcPr>
            <w:tcW w:w="216" w:type="dxa"/>
          </w:tcPr>
          <w:p>
            <w:pPr>
              <w:jc w:val="both"/>
            </w:pPr>
          </w:p>
        </w:tc>
        <w:tc>
          <w:tcPr>
            <w:tcW w:w="3269" w:type="dxa"/>
            <w:gridSpan w:val="3"/>
          </w:tcPr>
          <w:p>
            <w:pPr>
              <w:jc w:val="left"/>
            </w:pPr>
            <w:r>
              <w:t xml:space="preserve">B.  Industrial parks</w:t>
            </w:r>
          </w:p>
        </w:tc>
        <w:tc>
          <w:tcPr>
            <w:tcW w:w="2837" w:type="dxa"/>
          </w:tcPr>
          <w:p>
            <w:pPr>
              <w:jc w:val="right"/>
            </w:pPr>
            <w:r>
              <w:t xml:space="preserve">460/lot</w:t>
            </w:r>
          </w:p>
        </w:tc>
        <w:tc>
          <w:tcPr>
            <w:tcW w:w="230" w:type="dxa"/>
          </w:tcPr>
          <w:p>
            <w:pPr>
              <w:jc w:val="both"/>
            </w:pPr>
          </w:p>
        </w:tc>
        <w:tc>
          <w:tcPr>
            <w:tcW w:w="2434" w:type="dxa"/>
          </w:tcPr>
          <w:p>
            <w:pPr>
              <w:jc w:val="right"/>
            </w:pPr>
            <w:r>
              <w:t xml:space="preserve">460/lot</w:t>
            </w:r>
          </w:p>
        </w:tc>
      </w:tr>
      <w:tr>
        <w:trPr>
          <w:cantSplit/>
        </w:trPr>
        <w:tc>
          <w:tcPr>
            <w:tcW w:w="216" w:type="dxa"/>
          </w:tcPr>
          <w:p>
            <w:pPr>
              <w:jc w:val="both"/>
            </w:pPr>
          </w:p>
        </w:tc>
        <w:tc>
          <w:tcPr>
            <w:tcW w:w="3269" w:type="dxa"/>
            <w:gridSpan w:val="3"/>
          </w:tcPr>
          <w:p>
            <w:pPr>
              <w:jc w:val="left"/>
            </w:pPr>
            <w:r>
              <w:t xml:space="preserve">C.  Mining</w:t>
            </w:r>
          </w:p>
        </w:tc>
        <w:tc>
          <w:tcPr>
            <w:tcW w:w="2837" w:type="dxa"/>
          </w:tcPr>
          <w:p>
            <w:pPr>
              <w:jc w:val="right"/>
            </w:pPr>
            <w:r>
              <w:t xml:space="preserve">1,500</w:t>
            </w:r>
          </w:p>
        </w:tc>
        <w:tc>
          <w:tcPr>
            <w:tcW w:w="230" w:type="dxa"/>
          </w:tcPr>
          <w:p>
            <w:pPr>
              <w:jc w:val="both"/>
            </w:pPr>
          </w:p>
        </w:tc>
        <w:tc>
          <w:tcPr>
            <w:tcW w:w="2434" w:type="dxa"/>
          </w:tcPr>
          <w:p>
            <w:pPr>
              <w:jc w:val="right"/>
            </w:pPr>
            <w:r>
              <w:t xml:space="preserve">1,000</w:t>
            </w:r>
          </w:p>
        </w:tc>
      </w:tr>
      <w:tr>
        <w:trPr>
          <w:cantSplit/>
        </w:trPr>
        <w:tc>
          <w:tcPr>
            <w:tcW w:w="216" w:type="dxa"/>
          </w:tcPr>
          <w:p>
            <w:pPr>
              <w:jc w:val="both"/>
            </w:pPr>
          </w:p>
        </w:tc>
        <w:tc>
          <w:tcPr>
            <w:tcW w:w="3269" w:type="dxa"/>
            <w:gridSpan w:val="3"/>
          </w:tcPr>
          <w:p>
            <w:pPr>
              <w:jc w:val="left"/>
            </w:pPr>
            <w:r>
              <w:t xml:space="preserve">D.  Structures</w:t>
            </w:r>
          </w:p>
        </w:tc>
        <w:tc>
          <w:tcPr>
            <w:tcW w:w="2837" w:type="dxa"/>
          </w:tcPr>
          <w:p>
            <w:pPr>
              <w:jc w:val="right"/>
            </w:pPr>
            <w:r>
              <w:t xml:space="preserve">4,000</w:t>
            </w:r>
          </w:p>
        </w:tc>
        <w:tc>
          <w:tcPr>
            <w:tcW w:w="230" w:type="dxa"/>
          </w:tcPr>
          <w:p>
            <w:pPr>
              <w:jc w:val="both"/>
            </w:pPr>
          </w:p>
        </w:tc>
        <w:tc>
          <w:tcPr>
            <w:tcW w:w="2434" w:type="dxa"/>
          </w:tcPr>
          <w:p>
            <w:pPr>
              <w:jc w:val="right"/>
            </w:pPr>
            <w:r>
              <w:t xml:space="preserve">2,000</w:t>
            </w:r>
          </w:p>
        </w:tc>
      </w:tr>
      <w:tr>
        <w:trPr>
          <w:cantSplit/>
        </w:trPr>
        <w:tc>
          <w:tcPr>
            <w:tcW w:w="216" w:type="dxa"/>
          </w:tcPr>
          <w:p>
            <w:pPr>
              <w:jc w:val="both"/>
            </w:pPr>
          </w:p>
        </w:tc>
        <w:tc>
          <w:tcPr>
            <w:tcW w:w="3269" w:type="dxa"/>
            <w:gridSpan w:val="3"/>
          </w:tcPr>
          <w:p>
            <w:pPr>
              <w:jc w:val="left"/>
            </w:pPr>
            <w:r>
              <w:t xml:space="preserve">E.  Other</w:t>
            </w:r>
          </w:p>
        </w:tc>
        <w:tc>
          <w:tcPr>
            <w:tcW w:w="2837" w:type="dxa"/>
          </w:tcPr>
          <w:p>
            <w:pPr>
              <w:jc w:val="right"/>
            </w:pPr>
            <w:r>
              <w:t xml:space="preserve">1,000</w:t>
            </w:r>
          </w:p>
        </w:tc>
        <w:tc>
          <w:tcPr>
            <w:tcW w:w="230" w:type="dxa"/>
          </w:tcPr>
          <w:p>
            <w:pPr>
              <w:jc w:val="both"/>
            </w:pPr>
          </w:p>
        </w:tc>
        <w:tc>
          <w:tcPr>
            <w:tcW w:w="2434" w:type="dxa"/>
          </w:tcPr>
          <w:p>
            <w:pPr>
              <w:jc w:val="right"/>
            </w:pPr>
            <w:r>
              <w:t xml:space="preserve">1,000</w:t>
            </w:r>
          </w:p>
        </w:tc>
      </w:tr>
      <w:tr>
        <w:trPr>
          <w:cantSplit/>
        </w:trPr>
        <w:tc>
          <w:tcPr>
            <w:tcW w:w="3485" w:type="dxa"/>
            <w:gridSpan w:val="4"/>
          </w:tcPr>
          <w:p>
            <w:pPr>
              <w:jc w:val="left"/>
            </w:pPr>
            <w:r>
              <w:t>543</w:t>
            </w:r>
            <w:r>
              <w:t xml:space="preserve">, Oily waste discharge</w:t>
            </w:r>
          </w:p>
        </w:tc>
        <w:tc>
          <w:tcPr>
            <w:tcW w:w="2837" w:type="dxa"/>
          </w:tcPr>
          <w:p>
            <w:pPr>
              <w:jc w:val="right"/>
            </w:pPr>
            <w:r>
              <w:t xml:space="preserve">40</w:t>
            </w:r>
          </w:p>
        </w:tc>
        <w:tc>
          <w:tcPr>
            <w:tcW w:w="230" w:type="dxa"/>
          </w:tcPr>
          <w:p>
            <w:pPr>
              <w:jc w:val="both"/>
            </w:pPr>
          </w:p>
        </w:tc>
        <w:tc>
          <w:tcPr>
            <w:tcW w:w="2434" w:type="dxa"/>
          </w:tcPr>
          <w:p>
            <w:pPr>
              <w:jc w:val="right"/>
            </w:pPr>
            <w:r>
              <w:t xml:space="preserve">160</w:t>
            </w:r>
          </w:p>
        </w:tc>
      </w:tr>
      <w:tr>
        <w:trPr>
          <w:cantSplit/>
        </w:trPr>
        <w:tc>
          <w:tcPr>
            <w:tcW w:w="3485" w:type="dxa"/>
            <w:gridSpan w:val="4"/>
          </w:tcPr>
          <w:p>
            <w:pPr>
              <w:jc w:val="left"/>
            </w:pPr>
            <w:r>
              <w:t>560</w:t>
            </w:r>
            <w:r>
              <w:t xml:space="preserve">, Vessels at anchorage</w:t>
            </w:r>
          </w:p>
        </w:tc>
        <w:tc>
          <w:tcPr>
            <w:tcW w:w="2837" w:type="dxa"/>
          </w:tcPr>
          <w:p>
            <w:pPr>
              <w:jc w:val="right"/>
            </w:pPr>
            <w:r>
              <w:t xml:space="preserve">125</w:t>
            </w:r>
          </w:p>
        </w:tc>
        <w:tc>
          <w:tcPr>
            <w:tcW w:w="230" w:type="dxa"/>
          </w:tcPr>
          <w:p>
            <w:pPr>
              <w:jc w:val="both"/>
            </w:pPr>
          </w:p>
        </w:tc>
        <w:tc>
          <w:tcPr>
            <w:tcW w:w="2434" w:type="dxa"/>
          </w:tcPr>
          <w:p>
            <w:pPr>
              <w:jc w:val="right"/>
            </w:pPr>
            <w:r>
              <w:t xml:space="preserve">100</w:t>
            </w:r>
          </w:p>
        </w:tc>
      </w:tr>
      <w:tr>
        <w:trPr>
          <w:cantSplit/>
        </w:trPr>
        <w:tc>
          <w:tcPr>
            <w:tcW w:w="3485" w:type="dxa"/>
            <w:gridSpan w:val="4"/>
          </w:tcPr>
          <w:p>
            <w:pPr>
              <w:jc w:val="left"/>
            </w:pPr>
            <w:r>
              <w:t>587</w:t>
            </w:r>
            <w:r>
              <w:t xml:space="preserve">, Ambient air quality or emissions standards variances</w:t>
            </w:r>
          </w:p>
        </w:tc>
        <w:tc>
          <w:tcPr>
            <w:tcW w:w="2837" w:type="dxa"/>
          </w:tcPr>
          <w:p>
            <w:pPr>
              <w:jc w:val="right"/>
            </w:pPr>
            <w:r>
              <w:t xml:space="preserve">5,050</w:t>
            </w:r>
          </w:p>
        </w:tc>
        <w:tc>
          <w:tcPr>
            <w:tcW w:w="230" w:type="dxa"/>
          </w:tcPr>
          <w:p>
            <w:pPr>
              <w:jc w:val="both"/>
            </w:pPr>
          </w:p>
        </w:tc>
        <w:tc>
          <w:tcPr>
            <w:tcW w:w="2434" w:type="dxa"/>
          </w:tcPr>
          <w:p>
            <w:pPr>
              <w:jc w:val="right"/>
            </w:pPr>
            <w:r>
              <w:t xml:space="preserve">50</w:t>
            </w:r>
          </w:p>
        </w:tc>
      </w:tr>
      <w:tr>
        <w:trPr>
          <w:cantSplit/>
        </w:trPr>
        <w:tc>
          <w:tcPr>
            <w:tcW w:w="3485" w:type="dxa"/>
            <w:gridSpan w:val="4"/>
          </w:tcPr>
          <w:p>
            <w:pPr>
              <w:jc w:val="left"/>
            </w:pPr>
            <w:r>
              <w:t>590</w:t>
            </w:r>
            <w:r>
              <w:t xml:space="preserve">, Air emissions licenses</w:t>
            </w:r>
          </w:p>
        </w:tc>
        <w:tc>
          <w:tcPr>
            <w:tcW w:w="5501" w:type="dxa"/>
            <w:gridSpan w:val="3"/>
          </w:tcPr>
          <w:p>
            <w:pPr>
              <w:jc w:val="center"/>
            </w:pPr>
            <w:r>
              <w:t xml:space="preserve">See </w:t>
            </w:r>
            <w:r>
              <w:t>section 353‑A</w:t>
            </w:r>
          </w:p>
        </w:tc>
      </w:tr>
      <w:tr>
        <w:trPr>
          <w:cantSplit/>
        </w:trPr>
        <w:tc>
          <w:tcPr>
            <w:tcW w:w="3485" w:type="dxa"/>
            <w:gridSpan w:val="4"/>
          </w:tcPr>
          <w:p>
            <w:pPr>
              <w:jc w:val="left"/>
            </w:pPr>
            <w:r>
              <w:t xml:space="preserve">633, Hydropower projects</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New or expanded generating capacity</w:t>
            </w:r>
          </w:p>
        </w:tc>
        <w:tc>
          <w:tcPr>
            <w:tcW w:w="2837" w:type="dxa"/>
          </w:tcPr>
          <w:p>
            <w:pPr>
              <w:jc w:val="right"/>
            </w:pPr>
            <w:r>
              <w:t xml:space="preserve">450/MW</w:t>
            </w:r>
          </w:p>
        </w:tc>
        <w:tc>
          <w:tcPr>
            <w:tcW w:w="230" w:type="dxa"/>
          </w:tcPr>
          <w:p>
            <w:pPr>
              <w:jc w:val="both"/>
            </w:pPr>
          </w:p>
        </w:tc>
        <w:tc>
          <w:tcPr>
            <w:tcW w:w="2434" w:type="dxa"/>
          </w:tcPr>
          <w:p>
            <w:pPr>
              <w:jc w:val="right"/>
            </w:pPr>
            <w:r>
              <w:t xml:space="preserve">50/MW</w:t>
            </w:r>
          </w:p>
        </w:tc>
      </w:tr>
      <w:tr>
        <w:trPr>
          <w:cantSplit/>
        </w:trPr>
        <w:tc>
          <w:tcPr>
            <w:tcW w:w="216" w:type="dxa"/>
          </w:tcPr>
          <w:p>
            <w:pPr>
              <w:jc w:val="both"/>
            </w:pPr>
          </w:p>
        </w:tc>
        <w:tc>
          <w:tcPr>
            <w:tcW w:w="3269" w:type="dxa"/>
            <w:gridSpan w:val="3"/>
          </w:tcPr>
          <w:p>
            <w:pPr>
              <w:jc w:val="left"/>
            </w:pPr>
            <w:r>
              <w:t xml:space="preserve">B.  Maintenance and repair or other structural alterations not involving an increase in generating capacity</w:t>
            </w:r>
          </w:p>
        </w:tc>
        <w:tc>
          <w:tcPr>
            <w:tcW w:w="2837" w:type="dxa"/>
          </w:tcPr>
          <w:p>
            <w:pPr>
              <w:jc w:val="right"/>
            </w:pPr>
            <w:r>
              <w:t xml:space="preserve">150</w:t>
            </w:r>
          </w:p>
        </w:tc>
        <w:tc>
          <w:tcPr>
            <w:tcW w:w="230" w:type="dxa"/>
          </w:tcPr>
          <w:p>
            <w:pPr>
              <w:jc w:val="both"/>
            </w:pPr>
          </w:p>
        </w:tc>
        <w:tc>
          <w:tcPr>
            <w:tcW w:w="2434" w:type="dxa"/>
          </w:tcPr>
          <w:p>
            <w:pPr>
              <w:jc w:val="right"/>
            </w:pPr>
            <w:r>
              <w:t xml:space="preserve">150</w:t>
            </w:r>
          </w:p>
        </w:tc>
      </w:tr>
      <w:tr>
        <w:trPr>
          <w:cantSplit/>
        </w:trPr>
        <w:tc>
          <w:tcPr>
            <w:tcW w:w="3485" w:type="dxa"/>
            <w:gridSpan w:val="4"/>
          </w:tcPr>
          <w:p>
            <w:pPr>
              <w:jc w:val="left"/>
            </w:pPr>
            <w:r>
              <w:t xml:space="preserve">33 United States Code, Chapter 26, Water Quality Certifications, in conjunction with applications for hydropower project licensing or relicensing</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Initial consultation</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B.  Second consultation</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C.  Application</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Storage</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Generating</w:t>
            </w:r>
          </w:p>
        </w:tc>
        <w:tc>
          <w:tcPr>
            <w:tcW w:w="2837" w:type="dxa"/>
          </w:tcPr>
          <w:p>
            <w:pPr>
              <w:jc w:val="right"/>
            </w:pPr>
            <w:r>
              <w:t xml:space="preserve">300/MW</w:t>
            </w:r>
          </w:p>
        </w:tc>
        <w:tc>
          <w:tcPr>
            <w:tcW w:w="230" w:type="dxa"/>
          </w:tcPr>
          <w:p>
            <w:pPr>
              <w:jc w:val="both"/>
            </w:pPr>
          </w:p>
        </w:tc>
        <w:tc>
          <w:tcPr>
            <w:tcW w:w="2434" w:type="dxa"/>
          </w:tcPr>
          <w:p>
            <w:pPr>
              <w:jc w:val="right"/>
            </w:pPr>
            <w:r>
              <w:t xml:space="preserve">50/MW</w:t>
            </w:r>
          </w:p>
        </w:tc>
      </w:tr>
      <w:tr>
        <w:trPr>
          <w:cantSplit/>
        </w:trPr>
        <w:tc>
          <w:tcPr>
            <w:tcW w:w="3485" w:type="dxa"/>
            <w:gridSpan w:val="4"/>
          </w:tcPr>
          <w:p>
            <w:pPr>
              <w:jc w:val="left"/>
            </w:pPr>
            <w:r>
              <w:t>1304</w:t>
            </w:r>
            <w:r>
              <w:t xml:space="preserve">, Waste management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Septage disposal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Site designation</w:t>
            </w:r>
          </w:p>
        </w:tc>
        <w:tc>
          <w:tcPr>
            <w:tcW w:w="2837" w:type="dxa"/>
          </w:tcPr>
          <w:p>
            <w:pPr>
              <w:jc w:val="right"/>
            </w:pPr>
            <w:r>
              <w:t xml:space="preserve">50</w:t>
            </w:r>
          </w:p>
        </w:tc>
        <w:tc>
          <w:tcPr>
            <w:tcW w:w="230" w:type="dxa"/>
          </w:tcPr>
          <w:p>
            <w:pPr>
              <w:jc w:val="both"/>
            </w:pPr>
          </w:p>
        </w:tc>
        <w:tc>
          <w:tcPr>
            <w:tcW w:w="2434" w:type="dxa"/>
          </w:tcPr>
          <w:p>
            <w:pPr>
              <w:jc w:val="right"/>
            </w:pPr>
            <w:r>
              <w:t xml:space="preserve">25</w:t>
            </w:r>
          </w:p>
        </w:tc>
      </w:tr>
      <w:tr>
        <w:trPr>
          <w:cantSplit/>
        </w:trPr>
        <w:tc>
          <w:tcPr>
            <w:tcW w:w="216" w:type="dxa"/>
          </w:tcPr>
          <w:p>
            <w:pPr>
              <w:jc w:val="both"/>
            </w:pPr>
          </w:p>
        </w:tc>
        <w:tc>
          <w:tcPr>
            <w:tcW w:w="3269" w:type="dxa"/>
            <w:gridSpan w:val="3"/>
          </w:tcPr>
          <w:p>
            <w:pPr>
              <w:jc w:val="left"/>
            </w:pPr>
            <w:r>
              <w:t xml:space="preserve">B.  Land application of sludges and residuals program approval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Industrial sludge</w:t>
            </w:r>
          </w:p>
        </w:tc>
        <w:tc>
          <w:tcPr>
            <w:tcW w:w="2837" w:type="dxa"/>
          </w:tcPr>
          <w:p>
            <w:pPr>
              <w:jc w:val="right"/>
            </w:pPr>
            <w:r>
              <w:t xml:space="preserve">400</w:t>
            </w:r>
          </w:p>
        </w:tc>
        <w:tc>
          <w:tcPr>
            <w:tcW w:w="230" w:type="dxa"/>
          </w:tcPr>
          <w:p>
            <w:pPr>
              <w:jc w:val="both"/>
            </w:pPr>
          </w:p>
        </w:tc>
        <w:tc>
          <w:tcPr>
            <w:tcW w:w="2434" w:type="dxa"/>
          </w:tcPr>
          <w:p>
            <w:pPr>
              <w:jc w:val="right"/>
            </w:pPr>
            <w:r>
              <w:t xml:space="preserve">400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Municipal sludge</w:t>
            </w:r>
          </w:p>
        </w:tc>
        <w:tc>
          <w:tcPr>
            <w:tcW w:w="2837" w:type="dxa"/>
          </w:tcPr>
          <w:p>
            <w:pPr>
              <w:jc w:val="right"/>
            </w:pPr>
            <w:r>
              <w:t xml:space="preserve">300</w:t>
            </w:r>
          </w:p>
        </w:tc>
        <w:tc>
          <w:tcPr>
            <w:tcW w:w="230" w:type="dxa"/>
          </w:tcPr>
          <w:p>
            <w:pPr>
              <w:jc w:val="both"/>
            </w:pPr>
          </w:p>
        </w:tc>
        <w:tc>
          <w:tcPr>
            <w:tcW w:w="2434" w:type="dxa"/>
          </w:tcPr>
          <w:p>
            <w:pPr>
              <w:jc w:val="right"/>
            </w:pPr>
            <w:r>
              <w:t xml:space="preserve">275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Bioash</w:t>
            </w:r>
          </w:p>
        </w:tc>
        <w:tc>
          <w:tcPr>
            <w:tcW w:w="2837" w:type="dxa"/>
          </w:tcPr>
          <w:p>
            <w:pPr>
              <w:jc w:val="right"/>
            </w:pPr>
            <w:r>
              <w:t xml:space="preserve">300</w:t>
            </w:r>
          </w:p>
        </w:tc>
        <w:tc>
          <w:tcPr>
            <w:tcW w:w="230" w:type="dxa"/>
          </w:tcPr>
          <w:p>
            <w:pPr>
              <w:jc w:val="both"/>
            </w:pPr>
          </w:p>
        </w:tc>
        <w:tc>
          <w:tcPr>
            <w:tcW w:w="2434" w:type="dxa"/>
          </w:tcPr>
          <w:p>
            <w:pPr>
              <w:jc w:val="right"/>
            </w:pPr>
            <w:r>
              <w:t xml:space="preserve">275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4. Wood ash</w:t>
            </w:r>
          </w:p>
        </w:tc>
        <w:tc>
          <w:tcPr>
            <w:tcW w:w="2837" w:type="dxa"/>
          </w:tcPr>
          <w:p>
            <w:pPr>
              <w:jc w:val="right"/>
            </w:pPr>
            <w:r>
              <w:t xml:space="preserve">300</w:t>
            </w:r>
          </w:p>
        </w:tc>
        <w:tc>
          <w:tcPr>
            <w:tcW w:w="230" w:type="dxa"/>
          </w:tcPr>
          <w:p>
            <w:pPr>
              <w:jc w:val="both"/>
            </w:pPr>
          </w:p>
        </w:tc>
        <w:tc>
          <w:tcPr>
            <w:tcW w:w="2434" w:type="dxa"/>
          </w:tcPr>
          <w:p>
            <w:pPr>
              <w:jc w:val="right"/>
            </w:pPr>
            <w:r>
              <w:t xml:space="preserve">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5. Food waste</w:t>
            </w:r>
          </w:p>
        </w:tc>
        <w:tc>
          <w:tcPr>
            <w:tcW w:w="2837" w:type="dxa"/>
          </w:tcPr>
          <w:p>
            <w:pPr>
              <w:jc w:val="right"/>
            </w:pPr>
            <w:r>
              <w:t xml:space="preserve">300</w:t>
            </w:r>
          </w:p>
        </w:tc>
        <w:tc>
          <w:tcPr>
            <w:tcW w:w="230" w:type="dxa"/>
          </w:tcPr>
          <w:p>
            <w:pPr>
              <w:jc w:val="both"/>
            </w:pPr>
          </w:p>
        </w:tc>
        <w:tc>
          <w:tcPr>
            <w:tcW w:w="2434" w:type="dxa"/>
          </w:tcPr>
          <w:p>
            <w:pPr>
              <w:jc w:val="right"/>
            </w:pPr>
            <w:r>
              <w:t xml:space="preserve">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6. Other residuals</w:t>
            </w:r>
          </w:p>
        </w:tc>
        <w:tc>
          <w:tcPr>
            <w:tcW w:w="2837" w:type="dxa"/>
          </w:tcPr>
          <w:p>
            <w:pPr>
              <w:jc w:val="right"/>
            </w:pPr>
            <w:r>
              <w:t xml:space="preserve">300</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C.  Landfill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Closing plans for secure landfills</w:t>
            </w:r>
          </w:p>
        </w:tc>
        <w:tc>
          <w:tcPr>
            <w:tcW w:w="2837" w:type="dxa"/>
          </w:tcPr>
          <w:p>
            <w:pPr>
              <w:jc w:val="right"/>
            </w:pPr>
            <w:r>
              <w:t xml:space="preserve">1,500</w:t>
            </w:r>
          </w:p>
        </w:tc>
        <w:tc>
          <w:tcPr>
            <w:tcW w:w="230" w:type="dxa"/>
          </w:tcPr>
          <w:p>
            <w:pPr>
              <w:jc w:val="both"/>
            </w:pPr>
          </w:p>
        </w:tc>
        <w:tc>
          <w:tcPr>
            <w:tcW w:w="2434" w:type="dxa"/>
          </w:tcPr>
          <w:p>
            <w:pPr>
              <w:jc w:val="right"/>
            </w:pPr>
            <w:r>
              <w:t xml:space="preserve">1,500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Closing plans for attenuation landfills</w:t>
            </w:r>
          </w:p>
        </w:tc>
        <w:tc>
          <w:tcPr>
            <w:tcW w:w="2837" w:type="dxa"/>
          </w:tcPr>
          <w:p>
            <w:pPr>
              <w:jc w:val="right"/>
            </w:pPr>
            <w:r>
              <w:t xml:space="preserve">500</w:t>
            </w:r>
          </w:p>
        </w:tc>
        <w:tc>
          <w:tcPr>
            <w:tcW w:w="230" w:type="dxa"/>
          </w:tcPr>
          <w:p>
            <w:pPr>
              <w:jc w:val="both"/>
            </w:pPr>
          </w:p>
        </w:tc>
        <w:tc>
          <w:tcPr>
            <w:tcW w:w="2434" w:type="dxa"/>
          </w:tcPr>
          <w:p>
            <w:pPr>
              <w:jc w:val="right"/>
            </w:pPr>
            <w:r>
              <w:t xml:space="preserve">500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Post-closure report</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4.  Preliminary information reports</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5. License transfers</w:t>
            </w:r>
          </w:p>
        </w:tc>
        <w:tc>
          <w:tcPr>
            <w:tcW w:w="2837" w:type="dxa"/>
          </w:tcPr>
          <w:p>
            <w:pPr>
              <w:jc w:val="right"/>
            </w:pPr>
            <w:r>
              <w:t xml:space="preserve">500</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6. Special waste disposal </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a. One-time disposal of quantities of 6 cubic yards or less </w:t>
            </w:r>
          </w:p>
        </w:tc>
        <w:tc>
          <w:tcPr>
            <w:tcW w:w="2837" w:type="dxa"/>
          </w:tcPr>
          <w:p>
            <w:pPr>
              <w:jc w:val="right"/>
            </w:pPr>
            <w:r>
              <w:t xml:space="preserve">50</w:t>
            </w:r>
          </w:p>
        </w:tc>
        <w:tc>
          <w:tcPr>
            <w:tcW w:w="230" w:type="dxa"/>
          </w:tcPr>
          <w:p>
            <w:pPr>
              <w:jc w:val="both"/>
            </w:pPr>
          </w:p>
        </w:tc>
        <w:tc>
          <w:tcPr>
            <w:tcW w:w="2434" w:type="dxa"/>
          </w:tcPr>
          <w:p>
            <w:pPr>
              <w:jc w:val="right"/>
            </w:pPr>
            <w:r>
              <w:t xml:space="preserve">50</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b. One-time disposal of quantities greater than 6 cubic yards </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c. Program approval for routine disposal of a special waste</w:t>
            </w:r>
          </w:p>
        </w:tc>
        <w:tc>
          <w:tcPr>
            <w:tcW w:w="2837" w:type="dxa"/>
          </w:tcPr>
          <w:p>
            <w:pPr>
              <w:jc w:val="right"/>
            </w:pPr>
            <w:r>
              <w:t xml:space="preserve">300</w:t>
            </w:r>
          </w:p>
        </w:tc>
        <w:tc>
          <w:tcPr>
            <w:tcW w:w="230" w:type="dxa"/>
          </w:tcPr>
          <w:p>
            <w:pPr>
              <w:jc w:val="both"/>
            </w:pPr>
          </w:p>
        </w:tc>
        <w:tc>
          <w:tcPr>
            <w:tcW w:w="2434" w:type="dxa"/>
          </w:tcPr>
          <w:p>
            <w:pPr>
              <w:jc w:val="right"/>
            </w:pPr>
            <w:r>
              <w:t xml:space="preserve">300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7. Minor revision for secure landfills </w:t>
            </w:r>
          </w:p>
        </w:tc>
        <w:tc>
          <w:tcPr>
            <w:tcW w:w="2837" w:type="dxa"/>
          </w:tcPr>
          <w:p>
            <w:pPr>
              <w:jc w:val="right"/>
            </w:pPr>
            <w:r>
              <w:t xml:space="preserve">600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8. Minor revision for attenuation landfills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9. Public benefit determination </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D.  Incineration facility</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License transfer</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E.  License transfer other than for landfills and incinerators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3269" w:type="dxa"/>
            <w:gridSpan w:val="3"/>
          </w:tcPr>
          <w:p>
            <w:pPr>
              <w:jc w:val="left"/>
            </w:pPr>
            <w:r>
              <w:t xml:space="preserve">F. Minor revision for septage facilities and solid waste facilities other than landfills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3269" w:type="dxa"/>
            <w:gridSpan w:val="3"/>
          </w:tcPr>
          <w:p>
            <w:pPr>
              <w:jc w:val="left"/>
            </w:pPr>
            <w:r>
              <w:t xml:space="preserve">G. Permit by rule for one-time activities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bl>
    <w:p xmlns:wp="http://schemas.openxmlformats.org/drawingml/2010/wordprocessingDrawing" xmlns:w15="http://schemas.microsoft.com/office/word/2012/wordml">
      <w:pPr>
        <w:spacing w:before="100" w:after="100"/>
        <w:ind w:start="360"/>
        <w:jc w:val="center"/>
      </w:pPr>
      <w:r>
        <w:t xml:space="preserve">TABLE II</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WASTE MANAGEMENT FEES - ANNUAL LICENSE</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MAXIMUM FEES IN DOLLARS</w:t>
      </w:r>
    </w:p>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403"/>
        <w:gridCol w:w="562"/>
        <w:gridCol w:w="4378"/>
        <w:gridCol w:w="864"/>
        <w:gridCol w:w="864"/>
        <w:gridCol w:w="850"/>
        <w:gridCol w:w="850"/>
      </w:tblGrid>
      <w:tr>
        <w:trPr>
          <w:cantSplit/>
        </w:trPr>
        <w:tc>
          <w:tcPr>
            <w:tcW w:w="5558" w:type="dxa"/>
            <w:gridSpan w:val="4"/>
          </w:tcPr>
          <w:p>
            <w:pPr>
              <w:jc w:val="left"/>
            </w:pPr>
            <w:r>
              <w:t>TITLE 38</w:t>
            </w:r>
            <w:r>
              <w:t xml:space="preserve"> SECTION</w:t>
            </w:r>
          </w:p>
        </w:tc>
        <w:tc>
          <w:tcPr>
            <w:tcW w:w="1728" w:type="dxa"/>
            <w:gridSpan w:val="2"/>
          </w:tcPr>
          <w:p>
            <w:pPr>
              <w:jc w:val="center"/>
            </w:pPr>
            <w:r>
              <w:t xml:space="preserve">PROCESSING FEE</w:t>
            </w:r>
          </w:p>
        </w:tc>
        <w:tc>
          <w:tcPr>
            <w:tcW w:w="0" w:type="dxa"/>
            <w:gridSpan w:val="2"/>
          </w:tcPr>
          <w:p>
            <w:pPr>
              <w:jc w:val="center"/>
            </w:pPr>
            <w:r>
              <w:t xml:space="preserve">ANNUAL LICENSE FEE</w:t>
            </w:r>
          </w:p>
        </w:tc>
      </w:tr>
      <w:tr>
        <w:trPr>
          <w:cantSplit/>
        </w:trPr>
        <w:tc>
          <w:tcPr>
            <w:tcW w:w="7286" w:type="dxa"/>
            <w:gridSpan w:val="6"/>
          </w:tcPr>
          <w:p>
            <w:pPr>
              <w:jc w:val="left"/>
            </w:pPr>
            <w:r>
              <w:t>1278</w:t>
            </w:r>
            <w:r>
              <w:t xml:space="preserve">, Asbestos abatement</w:t>
            </w:r>
          </w:p>
        </w:tc>
        <w:tc>
          <w:tcPr>
            <w:tcW w:w="850" w:type="dxa"/>
          </w:tcPr>
          <w:p>
            <w:pPr>
              <w:jc w:val="both"/>
            </w:pPr>
          </w:p>
        </w:tc>
        <w:tc>
          <w:tcPr>
            <w:tcW w:w="850" w:type="dxa"/>
          </w:tcPr>
          <w:p>
            <w:pPr>
              <w:jc w:val="both"/>
            </w:pPr>
          </w:p>
        </w:tc>
      </w:tr>
      <w:tr>
        <w:trPr>
          <w:cantSplit/>
        </w:trPr>
        <w:tc>
          <w:tcPr>
            <w:tcW w:w="216" w:type="dxa"/>
          </w:tcPr>
          <w:p>
            <w:pPr>
              <w:jc w:val="both"/>
            </w:pPr>
          </w:p>
        </w:tc>
        <w:tc>
          <w:tcPr>
            <w:tcW w:w="5342" w:type="dxa"/>
            <w:gridSpan w:val="3"/>
          </w:tcPr>
          <w:p>
            <w:pPr>
              <w:jc w:val="left"/>
            </w:pPr>
            <w:r>
              <w:t xml:space="preserve">A.  Asbestos abatement contractor</w:t>
            </w:r>
          </w:p>
        </w:tc>
        <w:tc>
          <w:tcPr>
            <w:tcW w:w="1728" w:type="dxa"/>
            <w:gridSpan w:val="2"/>
          </w:tcPr>
          <w:p>
            <w:pPr>
              <w:jc w:val="right"/>
            </w:pPr>
            <w:r>
              <w:t xml:space="preserve">$0</w:t>
            </w:r>
          </w:p>
        </w:tc>
        <w:tc>
          <w:tcPr>
            <w:tcW w:w="0" w:type="dxa"/>
            <w:gridSpan w:val="2"/>
          </w:tcPr>
          <w:p>
            <w:pPr>
              <w:jc w:val="right"/>
            </w:pPr>
            <w:r>
              <w:t xml:space="preserve">$650</w:t>
            </w:r>
          </w:p>
        </w:tc>
      </w:tr>
      <w:tr>
        <w:trPr>
          <w:cantSplit/>
        </w:trPr>
        <w:tc>
          <w:tcPr>
            <w:tcW w:w="216" w:type="dxa"/>
          </w:tcPr>
          <w:p>
            <w:pPr>
              <w:jc w:val="both"/>
            </w:pPr>
          </w:p>
        </w:tc>
        <w:tc>
          <w:tcPr>
            <w:tcW w:w="5342" w:type="dxa"/>
            <w:gridSpan w:val="3"/>
          </w:tcPr>
          <w:p>
            <w:pPr>
              <w:jc w:val="left"/>
            </w:pPr>
            <w:r>
              <w:t xml:space="preserve">B.  Asbestos abatement worker</w:t>
            </w:r>
          </w:p>
        </w:tc>
        <w:tc>
          <w:tcPr>
            <w:tcW w:w="1728" w:type="dxa"/>
            <w:gridSpan w:val="2"/>
          </w:tcPr>
          <w:p>
            <w:pPr>
              <w:jc w:val="right"/>
            </w:pPr>
            <w:r>
              <w:t xml:space="preserve">0</w:t>
            </w:r>
          </w:p>
        </w:tc>
        <w:tc>
          <w:tcPr>
            <w:tcW w:w="0" w:type="dxa"/>
            <w:gridSpan w:val="2"/>
          </w:tcPr>
          <w:p>
            <w:pPr>
              <w:jc w:val="right"/>
            </w:pPr>
            <w:r>
              <w:t xml:space="preserve">50</w:t>
            </w:r>
          </w:p>
        </w:tc>
      </w:tr>
      <w:tr>
        <w:trPr>
          <w:cantSplit/>
        </w:trPr>
        <w:tc>
          <w:tcPr>
            <w:tcW w:w="216" w:type="dxa"/>
          </w:tcPr>
          <w:p>
            <w:pPr>
              <w:jc w:val="both"/>
            </w:pPr>
          </w:p>
        </w:tc>
        <w:tc>
          <w:tcPr>
            <w:tcW w:w="5342" w:type="dxa"/>
            <w:gridSpan w:val="3"/>
          </w:tcPr>
          <w:p>
            <w:pPr>
              <w:jc w:val="left"/>
            </w:pPr>
            <w:r>
              <w:t xml:space="preserve">C.  Asbestos consultant</w:t>
            </w:r>
          </w:p>
        </w:tc>
        <w:tc>
          <w:tcPr>
            <w:tcW w:w="1728" w:type="dxa"/>
            <w:gridSpan w:val="2"/>
          </w:tcPr>
          <w:p>
            <w:pPr>
              <w:jc w:val="right"/>
            </w:pPr>
            <w:r>
              <w:t xml:space="preserve">0</w:t>
            </w:r>
          </w:p>
        </w:tc>
        <w:tc>
          <w:tcPr>
            <w:tcW w:w="0" w:type="dxa"/>
            <w:gridSpan w:val="2"/>
          </w:tcPr>
          <w:p>
            <w:pPr>
              <w:jc w:val="right"/>
            </w:pPr>
            <w:r>
              <w:t xml:space="preserve">650</w:t>
            </w:r>
          </w:p>
        </w:tc>
      </w:tr>
      <w:tr>
        <w:trPr>
          <w:cantSplit/>
        </w:trPr>
        <w:tc>
          <w:tcPr>
            <w:tcW w:w="216" w:type="dxa"/>
          </w:tcPr>
          <w:p>
            <w:pPr>
              <w:jc w:val="both"/>
            </w:pPr>
          </w:p>
        </w:tc>
        <w:tc>
          <w:tcPr>
            <w:tcW w:w="5342" w:type="dxa"/>
            <w:gridSpan w:val="3"/>
          </w:tcPr>
          <w:p>
            <w:pPr>
              <w:jc w:val="left"/>
            </w:pPr>
            <w:r>
              <w:t xml:space="preserve">D.  Asbestos analytical laboratory</w:t>
            </w:r>
          </w:p>
        </w:tc>
        <w:tc>
          <w:tcPr>
            <w:tcW w:w="1728" w:type="dxa"/>
            <w:gridSpan w:val="2"/>
          </w:tcPr>
          <w:p>
            <w:pPr>
              <w:jc w:val="right"/>
            </w:pPr>
            <w:r>
              <w:t xml:space="preserve">0</w:t>
            </w:r>
          </w:p>
        </w:tc>
        <w:tc>
          <w:tcPr>
            <w:tcW w:w="0" w:type="dxa"/>
            <w:gridSpan w:val="2"/>
          </w:tcPr>
          <w:p>
            <w:pPr>
              <w:jc w:val="right"/>
            </w:pPr>
            <w:r>
              <w:t xml:space="preserve">400</w:t>
            </w:r>
          </w:p>
        </w:tc>
      </w:tr>
      <w:tr>
        <w:trPr>
          <w:cantSplit/>
        </w:trPr>
        <w:tc>
          <w:tcPr>
            <w:tcW w:w="216" w:type="dxa"/>
          </w:tcPr>
          <w:p>
            <w:pPr>
              <w:jc w:val="both"/>
            </w:pPr>
          </w:p>
        </w:tc>
        <w:tc>
          <w:tcPr>
            <w:tcW w:w="5342" w:type="dxa"/>
            <w:gridSpan w:val="3"/>
          </w:tcPr>
          <w:p>
            <w:pPr>
              <w:jc w:val="left"/>
            </w:pPr>
            <w:r>
              <w:t xml:space="preserve">E.  Training provider</w:t>
            </w:r>
          </w:p>
        </w:tc>
        <w:tc>
          <w:tcPr>
            <w:tcW w:w="1728" w:type="dxa"/>
            <w:gridSpan w:val="2"/>
          </w:tcPr>
          <w:p>
            <w:pPr>
              <w:jc w:val="right"/>
            </w:pPr>
            <w:r>
              <w:t xml:space="preserve">0</w:t>
            </w:r>
          </w:p>
        </w:tc>
        <w:tc>
          <w:tcPr>
            <w:tcW w:w="0" w:type="dxa"/>
            <w:gridSpan w:val="2"/>
          </w:tcPr>
          <w:p>
            <w:pPr>
              <w:jc w:val="right"/>
            </w:pPr>
            <w:r>
              <w:t xml:space="preserve">500</w:t>
            </w:r>
          </w:p>
        </w:tc>
      </w:tr>
      <w:tr>
        <w:trPr>
          <w:cantSplit/>
        </w:trPr>
        <w:tc>
          <w:tcPr>
            <w:tcW w:w="216" w:type="dxa"/>
          </w:tcPr>
          <w:p>
            <w:pPr>
              <w:jc w:val="both"/>
            </w:pPr>
          </w:p>
        </w:tc>
        <w:tc>
          <w:tcPr>
            <w:tcW w:w="5342" w:type="dxa"/>
            <w:gridSpan w:val="3"/>
          </w:tcPr>
          <w:p>
            <w:pPr>
              <w:jc w:val="left"/>
            </w:pPr>
            <w:r>
              <w:t xml:space="preserve">F.  Other categories of asbestos professionals except asbestos abatement workers</w:t>
            </w:r>
          </w:p>
        </w:tc>
        <w:tc>
          <w:tcPr>
            <w:tcW w:w="1728" w:type="dxa"/>
            <w:gridSpan w:val="2"/>
          </w:tcPr>
          <w:p>
            <w:pPr>
              <w:jc w:val="right"/>
            </w:pPr>
            <w:r>
              <w:t xml:space="preserve">0</w:t>
            </w:r>
          </w:p>
        </w:tc>
        <w:tc>
          <w:tcPr>
            <w:tcW w:w="0" w:type="dxa"/>
            <w:gridSpan w:val="2"/>
          </w:tcPr>
          <w:p>
            <w:pPr>
              <w:jc w:val="right"/>
            </w:pPr>
            <w:r>
              <w:t xml:space="preserve">100</w:t>
            </w:r>
          </w:p>
        </w:tc>
      </w:tr>
      <w:tr>
        <w:trPr>
          <w:cantSplit/>
        </w:trPr>
        <w:tc>
          <w:tcPr>
            <w:tcW w:w="216" w:type="dxa"/>
          </w:tcPr>
          <w:p>
            <w:pPr>
              <w:jc w:val="both"/>
            </w:pPr>
          </w:p>
        </w:tc>
        <w:tc>
          <w:tcPr>
            <w:tcW w:w="5342" w:type="dxa"/>
            <w:gridSpan w:val="3"/>
          </w:tcPr>
          <w:p>
            <w:pPr>
              <w:jc w:val="left"/>
            </w:pPr>
            <w:r>
              <w:t xml:space="preserve">G.  Notification</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Project size greater than 100 square feet or 100 linear feet and less than 500 square feet or 2,500 linear feet</w:t>
            </w:r>
          </w:p>
        </w:tc>
        <w:tc>
          <w:tcPr>
            <w:tcW w:w="1728" w:type="dxa"/>
            <w:gridSpan w:val="2"/>
          </w:tcPr>
          <w:p>
            <w:pPr>
              <w:jc w:val="right"/>
            </w:pPr>
            <w:r>
              <w:t xml:space="preserve">100</w:t>
            </w:r>
          </w:p>
        </w:tc>
        <w:tc>
          <w:tcPr>
            <w:tcW w:w="0" w:type="dxa"/>
            <w:gridSpan w:val="2"/>
          </w:tcPr>
          <w:p>
            <w:pPr>
              <w:jc w:val="right"/>
            </w:pPr>
            <w:r>
              <w:t xml:space="preserve">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Project size 500 square feet or 2,500 linear feet, or greater, and less than 1,000 square feet or 5,000 linear feet</w:t>
            </w:r>
          </w:p>
        </w:tc>
        <w:tc>
          <w:tcPr>
            <w:tcW w:w="1728" w:type="dxa"/>
            <w:gridSpan w:val="2"/>
          </w:tcPr>
          <w:p>
            <w:pPr>
              <w:jc w:val="right"/>
            </w:pPr>
            <w:r>
              <w:t xml:space="preserve">150</w:t>
            </w:r>
          </w:p>
        </w:tc>
        <w:tc>
          <w:tcPr>
            <w:tcW w:w="0" w:type="dxa"/>
            <w:gridSpan w:val="2"/>
          </w:tcPr>
          <w:p>
            <w:pPr>
              <w:jc w:val="right"/>
            </w:pPr>
            <w:r>
              <w:t xml:space="preserve">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Project size 1,000 square feet or 5,000 linear feet, or greater </w:t>
            </w:r>
          </w:p>
        </w:tc>
        <w:tc>
          <w:tcPr>
            <w:tcW w:w="1728" w:type="dxa"/>
            <w:gridSpan w:val="2"/>
          </w:tcPr>
          <w:p>
            <w:pPr>
              <w:jc w:val="right"/>
            </w:pPr>
            <w:r>
              <w:t xml:space="preserve">300</w:t>
            </w:r>
          </w:p>
        </w:tc>
        <w:tc>
          <w:tcPr>
            <w:tcW w:w="0" w:type="dxa"/>
            <w:gridSpan w:val="2"/>
          </w:tcPr>
          <w:p>
            <w:pPr>
              <w:jc w:val="right"/>
            </w:pPr>
            <w:r>
              <w:t xml:space="preserve">0</w:t>
            </w:r>
          </w:p>
        </w:tc>
      </w:tr>
      <w:tr>
        <w:trPr>
          <w:cantSplit/>
        </w:trPr>
        <w:tc>
          <w:tcPr>
            <w:tcW w:w="7286" w:type="dxa"/>
            <w:gridSpan w:val="6"/>
          </w:tcPr>
          <w:p>
            <w:pPr>
              <w:jc w:val="left"/>
            </w:pPr>
            <w:r>
              <w:t>1304</w:t>
            </w:r>
            <w:r>
              <w:t xml:space="preserve">, Waste management</w:t>
            </w:r>
          </w:p>
        </w:tc>
        <w:tc>
          <w:tcPr>
            <w:tcW w:w="850" w:type="dxa"/>
          </w:tcPr>
          <w:p>
            <w:pPr>
              <w:jc w:val="both"/>
            </w:pPr>
          </w:p>
        </w:tc>
        <w:tc>
          <w:tcPr>
            <w:tcW w:w="850" w:type="dxa"/>
          </w:tcPr>
          <w:p>
            <w:pPr>
              <w:jc w:val="both"/>
            </w:pPr>
          </w:p>
        </w:tc>
      </w:tr>
      <w:tr>
        <w:trPr>
          <w:cantSplit/>
        </w:trPr>
        <w:tc>
          <w:tcPr>
            <w:tcW w:w="216" w:type="dxa"/>
          </w:tcPr>
          <w:p>
            <w:pPr>
              <w:jc w:val="both"/>
            </w:pPr>
          </w:p>
        </w:tc>
        <w:tc>
          <w:tcPr>
            <w:tcW w:w="6206" w:type="dxa"/>
            <w:gridSpan w:val="4"/>
          </w:tcPr>
          <w:p>
            <w:pPr>
              <w:jc w:val="left"/>
            </w:pPr>
            <w:r>
              <w:t xml:space="preserve">A.  Septage disposal</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Landspreading</w:t>
            </w:r>
          </w:p>
        </w:tc>
        <w:tc>
          <w:tcPr>
            <w:tcW w:w="1728" w:type="dxa"/>
            <w:gridSpan w:val="2"/>
          </w:tcPr>
          <w:p>
            <w:pPr>
              <w:jc w:val="right"/>
            </w:pPr>
            <w:r>
              <w:t xml:space="preserve">$550</w:t>
            </w:r>
          </w:p>
        </w:tc>
        <w:tc>
          <w:tcPr>
            <w:tcW w:w="0"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Storage</w:t>
            </w:r>
          </w:p>
        </w:tc>
        <w:tc>
          <w:tcPr>
            <w:tcW w:w="1728" w:type="dxa"/>
            <w:gridSpan w:val="2"/>
          </w:tcPr>
          <w:p>
            <w:pPr>
              <w:jc w:val="right"/>
            </w:pPr>
            <w:r>
              <w:t xml:space="preserve">50</w:t>
            </w:r>
          </w:p>
        </w:tc>
        <w:tc>
          <w:tcPr>
            <w:tcW w:w="0" w:type="dxa"/>
            <w:gridSpan w:val="2"/>
          </w:tcPr>
          <w:p>
            <w:pPr>
              <w:jc w:val="right"/>
            </w:pPr>
            <w:r>
              <w:t xml:space="preserve">75</w:t>
            </w:r>
          </w:p>
        </w:tc>
      </w:tr>
      <w:tr>
        <w:trPr>
          <w:cantSplit/>
        </w:trPr>
        <w:tc>
          <w:tcPr>
            <w:tcW w:w="216" w:type="dxa"/>
          </w:tcPr>
          <w:p>
            <w:pPr>
              <w:jc w:val="both"/>
            </w:pPr>
          </w:p>
        </w:tc>
        <w:tc>
          <w:tcPr>
            <w:tcW w:w="6206" w:type="dxa"/>
            <w:gridSpan w:val="4"/>
          </w:tcPr>
          <w:p>
            <w:pPr>
              <w:jc w:val="left"/>
            </w:pPr>
            <w:r>
              <w:t xml:space="preserve">B.  Residuals compost facility</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Type I</w:t>
            </w:r>
          </w:p>
        </w:tc>
        <w:tc>
          <w:tcPr>
            <w:tcW w:w="1728" w:type="dxa"/>
            <w:gridSpan w:val="2"/>
          </w:tcPr>
          <w:p>
            <w:pPr>
              <w:jc w:val="right"/>
            </w:pPr>
            <w:r>
              <w:t xml:space="preserve">150</w:t>
            </w:r>
          </w:p>
        </w:tc>
        <w:tc>
          <w:tcPr>
            <w:tcW w:w="0" w:type="dxa"/>
            <w:gridSpan w:val="2"/>
          </w:tcPr>
          <w:p>
            <w:pPr>
              <w:jc w:val="right"/>
            </w:pPr>
            <w:r>
              <w:t xml:space="preserve">150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Type II and Type III less than 3,500 cubic yards</w:t>
            </w:r>
          </w:p>
        </w:tc>
        <w:tc>
          <w:tcPr>
            <w:tcW w:w="1728" w:type="dxa"/>
            <w:gridSpan w:val="2"/>
          </w:tcPr>
          <w:p>
            <w:pPr>
              <w:jc w:val="right"/>
            </w:pPr>
            <w:r>
              <w:t xml:space="preserve">700</w:t>
            </w:r>
          </w:p>
        </w:tc>
        <w:tc>
          <w:tcPr>
            <w:tcW w:w="0" w:type="dxa"/>
            <w:gridSpan w:val="2"/>
          </w:tcPr>
          <w:p>
            <w:pPr>
              <w:jc w:val="right"/>
            </w:pPr>
            <w:r>
              <w:t xml:space="preserve">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Type II and Type III 3,500 cubic yards or greater</w:t>
            </w:r>
          </w:p>
        </w:tc>
        <w:tc>
          <w:tcPr>
            <w:tcW w:w="1728" w:type="dxa"/>
            <w:gridSpan w:val="2"/>
          </w:tcPr>
          <w:p>
            <w:pPr>
              <w:jc w:val="right"/>
            </w:pPr>
            <w:r>
              <w:t xml:space="preserve">1,400</w:t>
            </w:r>
          </w:p>
        </w:tc>
        <w:tc>
          <w:tcPr>
            <w:tcW w:w="0" w:type="dxa"/>
            <w:gridSpan w:val="2"/>
          </w:tcPr>
          <w:p>
            <w:pPr>
              <w:jc w:val="right"/>
            </w:pPr>
            <w:r>
              <w:t xml:space="preserve">850</w:t>
            </w:r>
          </w:p>
        </w:tc>
      </w:tr>
      <w:tr>
        <w:trPr>
          <w:cantSplit/>
        </w:trPr>
        <w:tc>
          <w:tcPr>
            <w:tcW w:w="216" w:type="dxa"/>
          </w:tcPr>
          <w:p>
            <w:pPr>
              <w:jc w:val="both"/>
            </w:pPr>
          </w:p>
        </w:tc>
        <w:tc>
          <w:tcPr>
            <w:tcW w:w="5342" w:type="dxa"/>
            <w:gridSpan w:val="3"/>
          </w:tcPr>
          <w:p>
            <w:pPr>
              <w:jc w:val="left"/>
            </w:pPr>
            <w:r>
              <w:t xml:space="preserve">C.  Land application of sludges and residuals </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Sites with program approval </w:t>
            </w:r>
          </w:p>
        </w:tc>
        <w:tc>
          <w:tcPr>
            <w:tcW w:w="864" w:type="dxa"/>
          </w:tcPr>
          <w:p>
            <w:pPr>
              <w:jc w:val="both"/>
            </w:pPr>
          </w:p>
        </w:tc>
        <w:tc>
          <w:tcPr>
            <w:tcW w:w="2563" w:type="dxa"/>
            <w:gridSpan w:val="3"/>
          </w:tcPr>
          <w:p>
            <w:pPr>
              <w:jc w:val="both"/>
            </w:pP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a. Industrial sludge</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b. Municipal sludge</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c. Bioash</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d. Wood ash</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e. Food waste</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f. Other residuals</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Sites without program approval</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a. Industrial sludge</w:t>
            </w:r>
          </w:p>
        </w:tc>
        <w:tc>
          <w:tcPr>
            <w:tcW w:w="1728" w:type="dxa"/>
            <w:gridSpan w:val="2"/>
          </w:tcPr>
          <w:p>
            <w:pPr>
              <w:jc w:val="right"/>
            </w:pPr>
            <w:r>
              <w:t xml:space="preserve">300</w:t>
            </w:r>
          </w:p>
        </w:tc>
        <w:tc>
          <w:tcPr>
            <w:tcW w:w="1699" w:type="dxa"/>
            <w:gridSpan w:val="2"/>
          </w:tcPr>
          <w:p>
            <w:pPr>
              <w:jc w:val="right"/>
            </w:pPr>
            <w:r>
              <w:t xml:space="preserve">550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b. Municipal sludge</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c. Bioash</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d. Wood ash</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e. Food waste</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f. Other</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7286" w:type="dxa"/>
            <w:gridSpan w:val="6"/>
          </w:tcPr>
          <w:p>
            <w:pPr>
              <w:jc w:val="left"/>
            </w:pPr>
            <w:r>
              <w:t>1310‑N</w:t>
            </w:r>
            <w:r>
              <w:t xml:space="preserve">, Solid waste facility siting</w:t>
            </w:r>
          </w:p>
        </w:tc>
        <w:tc>
          <w:tcPr>
            <w:tcW w:w="850" w:type="dxa"/>
          </w:tcPr>
          <w:p>
            <w:pPr>
              <w:jc w:val="both"/>
            </w:pPr>
          </w:p>
        </w:tc>
        <w:tc>
          <w:tcPr>
            <w:tcW w:w="850" w:type="dxa"/>
          </w:tcPr>
          <w:p>
            <w:pPr>
              <w:jc w:val="both"/>
            </w:pPr>
          </w:p>
        </w:tc>
      </w:tr>
      <w:tr>
        <w:trPr>
          <w:cantSplit/>
        </w:trPr>
        <w:tc>
          <w:tcPr>
            <w:tcW w:w="216" w:type="dxa"/>
          </w:tcPr>
          <w:p>
            <w:pPr>
              <w:jc w:val="both"/>
            </w:pPr>
          </w:p>
        </w:tc>
        <w:tc>
          <w:tcPr>
            <w:tcW w:w="6206" w:type="dxa"/>
            <w:gridSpan w:val="4"/>
          </w:tcPr>
          <w:p>
            <w:pPr>
              <w:jc w:val="left"/>
            </w:pPr>
            <w:r>
              <w:t xml:space="preserve">A.  Landfill</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Existing, nonsecure municipal solid waste landfills accepting waste from fewer than 15,000 people </w:t>
            </w:r>
          </w:p>
        </w:tc>
        <w:tc>
          <w:tcPr>
            <w:tcW w:w="1728" w:type="dxa"/>
            <w:gridSpan w:val="2"/>
          </w:tcPr>
          <w:p>
            <w:pPr>
              <w:jc w:val="right"/>
            </w:pPr>
            <w:r>
              <w:t xml:space="preserve">3,500</w:t>
            </w:r>
          </w:p>
        </w:tc>
        <w:tc>
          <w:tcPr>
            <w:tcW w:w="0" w:type="dxa"/>
            <w:gridSpan w:val="2"/>
          </w:tcPr>
          <w:p>
            <w:pPr>
              <w:jc w:val="right"/>
            </w:pPr>
            <w:r>
              <w:t xml:space="preserve">1,000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Existing, nonsecure municipal solid waste landfills accepting waste from more than 15,000 people </w:t>
            </w:r>
          </w:p>
        </w:tc>
        <w:tc>
          <w:tcPr>
            <w:tcW w:w="1728" w:type="dxa"/>
            <w:gridSpan w:val="2"/>
          </w:tcPr>
          <w:p>
            <w:pPr>
              <w:jc w:val="right"/>
            </w:pPr>
            <w:r>
              <w:t xml:space="preserve">3,500</w:t>
            </w:r>
          </w:p>
        </w:tc>
        <w:tc>
          <w:tcPr>
            <w:tcW w:w="0" w:type="dxa"/>
            <w:gridSpan w:val="2"/>
          </w:tcPr>
          <w:p>
            <w:pPr>
              <w:jc w:val="right"/>
            </w:pPr>
            <w:r>
              <w:t xml:space="preserve">3,500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New or expanded for secure landfill</w:t>
            </w:r>
          </w:p>
        </w:tc>
        <w:tc>
          <w:tcPr>
            <w:tcW w:w="1728" w:type="dxa"/>
            <w:gridSpan w:val="2"/>
          </w:tcPr>
          <w:p>
            <w:pPr>
              <w:jc w:val="right"/>
            </w:pPr>
            <w:r>
              <w:t xml:space="preserve">5,000</w:t>
            </w:r>
          </w:p>
        </w:tc>
        <w:tc>
          <w:tcPr>
            <w:tcW w:w="0" w:type="dxa"/>
            <w:gridSpan w:val="2"/>
          </w:tcPr>
          <w:p>
            <w:pPr>
              <w:jc w:val="right"/>
            </w:pPr>
            <w:r>
              <w:t xml:space="preserve">8,500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Nonsecure wood waste or demolition debris landfills, or both, if less than or equal to 6 acres </w:t>
            </w:r>
          </w:p>
        </w:tc>
        <w:tc>
          <w:tcPr>
            <w:tcW w:w="1728" w:type="dxa"/>
            <w:gridSpan w:val="2"/>
          </w:tcPr>
          <w:p>
            <w:pPr>
              <w:jc w:val="right"/>
            </w:pPr>
            <w:r>
              <w:t xml:space="preserve">700</w:t>
            </w:r>
          </w:p>
        </w:tc>
        <w:tc>
          <w:tcPr>
            <w:tcW w:w="0" w:type="dxa"/>
            <w:gridSpan w:val="2"/>
          </w:tcPr>
          <w:p>
            <w:pPr>
              <w:jc w:val="right"/>
            </w:pPr>
            <w:r>
              <w:t xml:space="preserve">750</w:t>
            </w:r>
          </w:p>
        </w:tc>
      </w:tr>
      <w:tr>
        <w:trPr>
          <w:cantSplit/>
        </w:trPr>
        <w:tc>
          <w:tcPr>
            <w:tcW w:w="216" w:type="dxa"/>
          </w:tcPr>
          <w:p>
            <w:pPr>
              <w:jc w:val="both"/>
            </w:pPr>
          </w:p>
        </w:tc>
        <w:tc>
          <w:tcPr>
            <w:tcW w:w="6206" w:type="dxa"/>
            <w:gridSpan w:val="4"/>
          </w:tcPr>
          <w:p>
            <w:pPr>
              <w:jc w:val="left"/>
            </w:pPr>
            <w:r>
              <w:t xml:space="preserve">B.  Incineration facilities</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New or expanded for the acceptance of municipal or special wastes, or both </w:t>
            </w:r>
          </w:p>
        </w:tc>
        <w:tc>
          <w:tcPr>
            <w:tcW w:w="1728" w:type="dxa"/>
            <w:gridSpan w:val="2"/>
          </w:tcPr>
          <w:p>
            <w:pPr>
              <w:jc w:val="right"/>
            </w:pPr>
            <w:r>
              <w:t xml:space="preserve">3,500</w:t>
            </w:r>
          </w:p>
        </w:tc>
        <w:tc>
          <w:tcPr>
            <w:tcW w:w="0" w:type="dxa"/>
            <w:gridSpan w:val="2"/>
          </w:tcPr>
          <w:p>
            <w:pPr>
              <w:jc w:val="right"/>
            </w:pPr>
            <w:r>
              <w:t xml:space="preserve">5,000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Municipally owned and operated solid waste incinerators with licensed capacity of 10 tons per day or less </w:t>
            </w:r>
          </w:p>
        </w:tc>
        <w:tc>
          <w:tcPr>
            <w:tcW w:w="1728" w:type="dxa"/>
            <w:gridSpan w:val="2"/>
          </w:tcPr>
          <w:p>
            <w:pPr>
              <w:jc w:val="right"/>
            </w:pPr>
            <w:r>
              <w:t xml:space="preserve">3,500</w:t>
            </w:r>
          </w:p>
        </w:tc>
        <w:tc>
          <w:tcPr>
            <w:tcW w:w="0" w:type="dxa"/>
            <w:gridSpan w:val="2"/>
          </w:tcPr>
          <w:p>
            <w:pPr>
              <w:jc w:val="right"/>
            </w:pPr>
            <w:r>
              <w:t xml:space="preserve">1,000</w:t>
            </w:r>
          </w:p>
        </w:tc>
      </w:tr>
      <w:tr>
        <w:trPr>
          <w:cantSplit/>
        </w:trPr>
        <w:tc>
          <w:tcPr>
            <w:tcW w:w="216" w:type="dxa"/>
          </w:tcPr>
          <w:p>
            <w:pPr>
              <w:jc w:val="both"/>
            </w:pPr>
          </w:p>
        </w:tc>
        <w:tc>
          <w:tcPr>
            <w:tcW w:w="5342" w:type="dxa"/>
            <w:gridSpan w:val="3"/>
          </w:tcPr>
          <w:p>
            <w:pPr>
              <w:jc w:val="left"/>
            </w:pPr>
            <w:r>
              <w:t xml:space="preserve">C.  Transfer station and storage facility</w:t>
            </w:r>
          </w:p>
        </w:tc>
        <w:tc>
          <w:tcPr>
            <w:tcW w:w="1728" w:type="dxa"/>
            <w:gridSpan w:val="2"/>
          </w:tcPr>
          <w:p>
            <w:pPr>
              <w:jc w:val="right"/>
            </w:pPr>
            <w:r>
              <w:t xml:space="preserve">750</w:t>
            </w:r>
          </w:p>
        </w:tc>
        <w:tc>
          <w:tcPr>
            <w:tcW w:w="0" w:type="dxa"/>
            <w:gridSpan w:val="2"/>
          </w:tcPr>
          <w:p>
            <w:pPr>
              <w:jc w:val="right"/>
            </w:pPr>
            <w:r>
              <w:t xml:space="preserve">175</w:t>
            </w:r>
          </w:p>
        </w:tc>
      </w:tr>
      <w:tr>
        <w:trPr>
          <w:cantSplit/>
        </w:trPr>
        <w:tc>
          <w:tcPr>
            <w:tcW w:w="216" w:type="dxa"/>
          </w:tcPr>
          <w:p>
            <w:pPr>
              <w:jc w:val="both"/>
            </w:pPr>
          </w:p>
        </w:tc>
        <w:tc>
          <w:tcPr>
            <w:tcW w:w="5342" w:type="dxa"/>
            <w:gridSpan w:val="3"/>
          </w:tcPr>
          <w:p>
            <w:pPr>
              <w:jc w:val="left"/>
            </w:pPr>
            <w:r>
              <w:t xml:space="preserve">D.  Tire storage facility</w:t>
            </w:r>
          </w:p>
        </w:tc>
        <w:tc>
          <w:tcPr>
            <w:tcW w:w="1728" w:type="dxa"/>
            <w:gridSpan w:val="2"/>
          </w:tcPr>
          <w:p>
            <w:pPr>
              <w:jc w:val="right"/>
            </w:pPr>
            <w:r>
              <w:t xml:space="preserve">400</w:t>
            </w:r>
          </w:p>
        </w:tc>
        <w:tc>
          <w:tcPr>
            <w:tcW w:w="0" w:type="dxa"/>
            <w:gridSpan w:val="2"/>
          </w:tcPr>
          <w:p>
            <w:pPr>
              <w:jc w:val="right"/>
            </w:pPr>
            <w:r>
              <w:t xml:space="preserve">450</w:t>
            </w:r>
          </w:p>
        </w:tc>
      </w:tr>
      <w:tr>
        <w:trPr>
          <w:cantSplit/>
        </w:trPr>
        <w:tc>
          <w:tcPr>
            <w:tcW w:w="216" w:type="dxa"/>
          </w:tcPr>
          <w:p>
            <w:pPr>
              <w:jc w:val="both"/>
            </w:pPr>
          </w:p>
        </w:tc>
        <w:tc>
          <w:tcPr>
            <w:tcW w:w="5342" w:type="dxa"/>
            <w:gridSpan w:val="3"/>
          </w:tcPr>
          <w:p>
            <w:pPr>
              <w:jc w:val="left"/>
            </w:pPr>
            <w:r>
              <w:t xml:space="preserve">F.  Processing facility other than municipal solid waste composting </w:t>
            </w:r>
          </w:p>
        </w:tc>
        <w:tc>
          <w:tcPr>
            <w:tcW w:w="1728" w:type="dxa"/>
            <w:gridSpan w:val="2"/>
          </w:tcPr>
          <w:p>
            <w:pPr>
              <w:jc w:val="right"/>
            </w:pPr>
            <w:r>
              <w:t xml:space="preserve">700</w:t>
            </w:r>
          </w:p>
        </w:tc>
        <w:tc>
          <w:tcPr>
            <w:tcW w:w="0" w:type="dxa"/>
            <w:gridSpan w:val="2"/>
          </w:tcPr>
          <w:p>
            <w:pPr>
              <w:jc w:val="right"/>
            </w:pPr>
            <w:r>
              <w:t xml:space="preserve">700</w:t>
            </w:r>
          </w:p>
        </w:tc>
      </w:tr>
      <w:tr>
        <w:trPr>
          <w:cantSplit/>
        </w:trPr>
        <w:tc>
          <w:tcPr>
            <w:tcW w:w="216" w:type="dxa"/>
          </w:tcPr>
          <w:p>
            <w:pPr>
              <w:jc w:val="both"/>
            </w:pPr>
          </w:p>
        </w:tc>
        <w:tc>
          <w:tcPr>
            <w:tcW w:w="5342" w:type="dxa"/>
            <w:gridSpan w:val="3"/>
          </w:tcPr>
          <w:p>
            <w:pPr>
              <w:jc w:val="left"/>
            </w:pPr>
            <w:r>
              <w:t xml:space="preserve">G.  Beneficial use activities other than agronomic utilization </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Fuel substitution</w:t>
            </w:r>
          </w:p>
        </w:tc>
        <w:tc>
          <w:tcPr>
            <w:tcW w:w="1728" w:type="dxa"/>
            <w:gridSpan w:val="2"/>
          </w:tcPr>
          <w:p>
            <w:pPr>
              <w:jc w:val="right"/>
            </w:pPr>
            <w:r>
              <w:t xml:space="preserve">700</w:t>
            </w:r>
          </w:p>
        </w:tc>
        <w:tc>
          <w:tcPr>
            <w:tcW w:w="0" w:type="dxa"/>
            <w:gridSpan w:val="2"/>
          </w:tcPr>
          <w:p>
            <w:pPr>
              <w:jc w:val="right"/>
            </w:pPr>
            <w:r>
              <w:t xml:space="preserve">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4. Beneficial use without risk assessment</w:t>
            </w:r>
          </w:p>
        </w:tc>
        <w:tc>
          <w:tcPr>
            <w:tcW w:w="1728" w:type="dxa"/>
            <w:gridSpan w:val="2"/>
          </w:tcPr>
          <w:p>
            <w:pPr>
              <w:jc w:val="right"/>
            </w:pPr>
            <w:r>
              <w:t xml:space="preserve">700</w:t>
            </w:r>
          </w:p>
        </w:tc>
        <w:tc>
          <w:tcPr>
            <w:tcW w:w="0"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Beneficial use with risk assessment</w:t>
            </w:r>
          </w:p>
        </w:tc>
        <w:tc>
          <w:tcPr>
            <w:tcW w:w="1728" w:type="dxa"/>
            <w:gridSpan w:val="2"/>
          </w:tcPr>
          <w:p>
            <w:pPr>
              <w:jc w:val="right"/>
            </w:pPr>
            <w:r>
              <w:t xml:space="preserve">1,400</w:t>
            </w:r>
          </w:p>
        </w:tc>
        <w:tc>
          <w:tcPr>
            <w:tcW w:w="0" w:type="dxa"/>
            <w:gridSpan w:val="2"/>
          </w:tcPr>
          <w:p>
            <w:pPr>
              <w:jc w:val="right"/>
            </w:pPr>
            <w:r>
              <w:t xml:space="preserve">500</w:t>
            </w:r>
          </w:p>
        </w:tc>
      </w:tr>
      <w:tr>
        <w:trPr>
          <w:cantSplit/>
        </w:trPr>
        <w:tc>
          <w:tcPr>
            <w:tcW w:w="216" w:type="dxa"/>
          </w:tcPr>
          <w:p>
            <w:pPr>
              <w:jc w:val="both"/>
            </w:pPr>
          </w:p>
        </w:tc>
        <w:tc>
          <w:tcPr>
            <w:tcW w:w="5342" w:type="dxa"/>
            <w:gridSpan w:val="3"/>
          </w:tcPr>
          <w:p>
            <w:pPr>
              <w:jc w:val="left"/>
            </w:pPr>
            <w:r>
              <w:t xml:space="preserve">H.  Permit by rule for ongoing activities</w:t>
            </w:r>
          </w:p>
        </w:tc>
        <w:tc>
          <w:tcPr>
            <w:tcW w:w="1728" w:type="dxa"/>
            <w:gridSpan w:val="2"/>
          </w:tcPr>
          <w:p>
            <w:pPr>
              <w:jc w:val="right"/>
            </w:pPr>
            <w:r>
              <w:t xml:space="preserve">100</w:t>
            </w:r>
          </w:p>
        </w:tc>
        <w:tc>
          <w:tcPr>
            <w:tcW w:w="0" w:type="dxa"/>
            <w:gridSpan w:val="2"/>
          </w:tcPr>
          <w:p>
            <w:pPr>
              <w:jc w:val="right"/>
            </w:pPr>
            <w:r>
              <w:t xml:space="preserve">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§3 (AMD).]</w:t>
      </w:r>
    </w:p>
    <w:p>
      <w:pPr>
        <w:jc w:val="both"/>
        <w:spacing w:before="100" w:after="0"/>
        <w:ind w:start="360"/>
        <w:ind w:firstLine="360"/>
      </w:pPr>
      <w:r>
        <w:rPr>
          <w:b/>
        </w:rPr>
        <w:t>5-B</w:t>
        <w:t xml:space="preserve">.  </w:t>
      </w:r>
      <w:r>
        <w:rPr>
          <w:b/>
        </w:rPr>
        <w:t xml:space="preserve">Accounting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§73 (RP).]</w:t>
      </w:r>
    </w:p>
    <w:p>
      <w:pPr>
        <w:jc w:val="both"/>
        <w:spacing w:before="100" w:after="0"/>
        <w:ind w:start="360"/>
        <w:ind w:firstLine="360"/>
      </w:pPr>
      <w:r>
        <w:rPr>
          <w:b/>
        </w:rPr>
        <w:t>6</w:t>
        <w:t xml:space="preserve">.  </w:t>
      </w:r>
      <w:r>
        <w:rPr>
          <w:b/>
        </w:rPr>
        <w:t xml:space="preserve">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1983, c. 743, §5 (AMD). PL 1985, c. 746, §§13,14 (AMD). PL 1987, c. 180, §1 (AMD). PL 1987, c. 419, §§4-7 (AMD). PL 1987, c. 787, §§6-10 (AMD). PL 1989, c. 405, §1 (AMD). PL 1989, c. 502, §A167 (AMD). PL 1989, c. 874, §2 (AMD). PL 1989, c. 890, §§A40,B10-12 (AMD). PL 1991, c. 384, §§1-4 (AMD). PL 1991, c. 384, §16 (AFF). PL 1991, c. 499, §§11-13 (AMD). PL 1991, c. 528, §RRR (AFF). PL 1991, c. 528, §§U1,2 (AMD). PL 1991, c. 591, §§U1,2 (AMD). PL 1991, c. 824, §§A82,C4 (AMD). PL 1993, c. 356, §§3,4 (AMD). PL 1993, c. 370, §2 (AMD). PL 1993, c. 378, §§2,3 (AMD). PL 1993, c. 410, §G1 (AMD). PL 1993, c. 410, §G2 (AFF). PL 1993, c. 632, §§1,2 (AMD). PL 1993, c. 632, §3 (AFF). PL 1993, c. 735, §13 (AFF). PL 1995, c. 173, §1 (AMD). PL 1995, c. 462, §A73 (AMD). PL 1995, c. 493, §1 (AMD). PL 1995, c. 642, §3 (AMD). PL 1995, c. 704, §A1 (AMD). PL 1995, c. 704, §C2 (AFF). PL 1997, c. 374, §§1,2 (AMD). PL 1997, c. 624, §1 (AMD). PL 1997, c. 794, §§B1-4 (AMD). PL 1999, c. 243, §§1,2 (AMD). PL 1999, c. 385, §§1,2 (AMD). PL 1999, c. 468, §3 (AMD). PL 1999, c. 731, §Z1 (AMD). PL 2001, c. 212, §2 (AMD). PL 2005, c. 330, §6 (AMD). PL 2007, c. 292, §15 (AMD). PL 2007, c. 399, §9 (AMD). PL 2007, c. 558, §1 (AMD). PL 2007, c. 661, Pt. B, §9 (AMD). PL 2009, c. 160, §1 (AMD). PL 2009, c. 374, §1 (AMD). PL 2009, c. 642, Pt. A, §8 (AMD). PL 2011, c. 120, §3 (AMD). PL 2011, c. 653, §§10, 11 (AMD). PL 2011, c. 653, §33 (AFF). PL 2011, c. 657, Pt. W, §6 (REV). PL 2013, c. 300, §9 (AMD). PL 2019, c. 374, §1 (AMD). PL 2019, c. 526, §2 (AMD). PL 2021, c. 186,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