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§480-EE. SIGNIFICANT WILDLIFE HABITAT CRITERIA; INLAND OPEN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