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490-FF</w:t>
        <w:t xml:space="preserve">.  </w:t>
      </w:r>
      <w:r>
        <w:rPr>
          <w:b/>
        </w:rPr>
        <w:t xml:space="preserve">Release</w:t>
      </w:r>
    </w:p>
    <w:p>
      <w:pPr>
        <w:jc w:val="both"/>
        <w:spacing w:before="100" w:after="100"/>
        <w:ind w:start="360"/>
        <w:ind w:firstLine="360"/>
      </w:pPr>
      <w:r>
        <w:rPr/>
      </w:r>
      <w:r>
        <w:rPr/>
      </w:r>
      <w:r>
        <w:t xml:space="preserve">The department may grant a release from the requirements of this article to the owner or operator or a transferee after reclamation of the affected area as determined by the department.  The department shall inspect the site before making this determination.  The release will terminate if any further excavation on the parcel is proposed by the owner or operator or a transferee.  A person proposing further excavation on the parcel must file a notice of intent to comply pursuant to </w:t>
      </w:r>
      <w:r>
        <w:t>section 490‑Y</w:t>
      </w:r>
      <w:r>
        <w:t xml:space="preserve"> and comply with all requirements of this article.  Payment of the annual fee under </w:t>
      </w:r>
      <w:r>
        <w:t>section 490‑EE</w:t>
      </w:r>
      <w:r>
        <w:t xml:space="preserve"> will resume in the year when the further excavation begins.</w:t>
      </w:r>
      <w:r>
        <w:t xml:space="preserve">  </w:t>
      </w:r>
      <w:r xmlns:wp="http://schemas.openxmlformats.org/drawingml/2010/wordprocessingDrawing" xmlns:w15="http://schemas.microsoft.com/office/word/2012/wordml">
        <w:rPr>
          <w:rFonts w:ascii="Arial" w:hAnsi="Arial" w:cs="Arial"/>
          <w:sz w:val="22"/>
          <w:szCs w:val="22"/>
        </w:rPr>
        <w:t xml:space="preserve">[PL 2005, c. 158,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§490-FF.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§490-FF.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§490-FF.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