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490-H</w:t>
        <w:t xml:space="preserve">.  </w:t>
      </w:r>
      <w:r>
        <w:rPr>
          <w:b/>
        </w:rPr>
        <w:t xml:space="preserve">Enforcement and penalties</w:t>
      </w:r>
    </w:p>
    <w:p>
      <w:pPr>
        <w:jc w:val="both"/>
        <w:spacing w:before="100" w:after="100"/>
        <w:ind w:start="360"/>
        <w:ind w:firstLine="360"/>
      </w:pPr>
      <w:r>
        <w:rPr/>
      </w:r>
      <w:r>
        <w:rPr/>
      </w:r>
      <w:r>
        <w:t xml:space="preserve">Except as provided in </w:t>
      </w:r>
      <w:r>
        <w:t>section 490‑I</w:t>
      </w:r>
      <w:r>
        <w:t xml:space="preserve">, 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regulator may order the owner or operator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§28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provisions of this article commits a civil violation and is subject to the penalties established under </w:t>
      </w:r>
      <w:r>
        <w:t>section 349</w:t>
      </w:r>
      <w:r>
        <w:t xml:space="preserve">.  Penalties assessed for enforcement actions taken by the State are payable to the State and penalties assessed for enforcement actions taken by a municipality registered under </w:t>
      </w:r>
      <w:r>
        <w:t>section 490‑I</w:t>
      </w:r>
      <w:r>
        <w:t xml:space="preserve"> are payable to that municipality.  For any action brought by a municipality under this article in which the municipality prevails, the court may require the owner or operator to reimburse the municipality for costs associated with that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the necessary reclamation.  The commissioner may use the bond or other security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§§28,29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§490-H.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§490-H.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§490-H.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