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Defenses</w:t>
      </w:r>
    </w:p>
    <w:p>
      <w:pPr>
        <w:jc w:val="both"/>
        <w:spacing w:before="100" w:after="100"/>
        <w:ind w:start="360"/>
        <w:ind w:firstLine="360"/>
      </w:pPr>
      <w:r>
        <w:rPr/>
      </w:r>
      <w:r>
        <w:rPr/>
      </w:r>
      <w:r>
        <w:t xml:space="preserve">The owner or occupant of such mill or canal may answer that the plaintiff has no right, title or estate in the lands alleged to be injured; or that the owner or occupant has a right to maintain such dam, and flow the lands, or divert the water for an agreed price, or without any compensation; or any other matter that may show that the plaintiff cannot maintain the action; but the owner or occupant may not answer that the land described is not injured by such dam or canal.</w:t>
      </w:r>
      <w:r>
        <w:t xml:space="preserve">  </w:t>
      </w:r>
      <w:r xmlns:wp="http://schemas.openxmlformats.org/drawingml/2010/wordprocessingDrawing" xmlns:w15="http://schemas.microsoft.com/office/word/2012/wordml">
        <w:rPr>
          <w:rFonts w:ascii="Arial" w:hAnsi="Arial" w:cs="Arial"/>
          <w:sz w:val="22"/>
          <w:szCs w:val="22"/>
        </w:rPr>
        <w:t xml:space="preserve">[RR 2021, c. 2, Pt. B, §248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 Defenses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Defenses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§703. DEFENSES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