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Trial; costs</w:t>
      </w:r>
    </w:p>
    <w:p>
      <w:pPr>
        <w:jc w:val="both"/>
        <w:spacing w:before="100" w:after="100"/>
        <w:ind w:start="360"/>
        <w:ind w:firstLine="360"/>
      </w:pPr>
      <w:r>
        <w:rPr/>
      </w:r>
      <w:r>
        <w:rPr/>
      </w:r>
      <w:r>
        <w:t xml:space="preserve">When an answer is filed pursuant to </w:t>
      </w:r>
      <w:r>
        <w:t>section 703</w:t>
      </w:r>
      <w:r>
        <w:t xml:space="preserve"> and an issue in fact or in law is joined, it must be decided as similar issues are decided at common law. If judgment is for the defendant, the defendant is entitled to recover the defendant's costs.</w:t>
      </w:r>
      <w:r>
        <w:t xml:space="preserve">  </w:t>
      </w:r>
      <w:r xmlns:wp="http://schemas.openxmlformats.org/drawingml/2010/wordprocessingDrawing" xmlns:w15="http://schemas.microsoft.com/office/word/2012/wordml">
        <w:rPr>
          <w:rFonts w:ascii="Arial" w:hAnsi="Arial" w:cs="Arial"/>
          <w:sz w:val="22"/>
          <w:szCs w:val="22"/>
        </w:rPr>
        <w:t xml:space="preserve">[PL 2023, c. 405,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Trial;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Trial;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§704. TRIAL;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