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Agreement of parties binding, if recorded</w:t>
      </w:r>
    </w:p>
    <w:p>
      <w:pPr>
        <w:jc w:val="both"/>
        <w:spacing w:before="100" w:after="100"/>
        <w:ind w:start="360"/>
        <w:ind w:firstLine="360"/>
      </w:pPr>
      <w:r>
        <w:rPr/>
      </w:r>
      <w:r>
        <w:rPr/>
      </w:r>
      <w:r>
        <w:t xml:space="preserve">When an annual compensation, upon the acceptance by one party of an offer made by the other, is established and signed by the owners of the mill, dam or canal, and of the land, and recorded in the office of the clerk of the court in which the former judgment was rendered, with a reference on the record to the former judgment, and to the book where the agreement is recorded, such agreement is as binding as a verdict and judgment on a new complaint.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 Agreement of parties binding, if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Agreement of parties binding, if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§723. AGREEMENT OF PARTIES BINDING, IF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