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Abandonment of watercraft</w:t>
      </w:r>
    </w:p>
    <w:p>
      <w:pPr>
        <w:jc w:val="both"/>
        <w:spacing w:before="100" w:after="100"/>
        <w:ind w:start="360"/>
        <w:ind w:firstLine="360"/>
      </w:pPr>
      <w:r>
        <w:rPr/>
      </w:r>
      <w:r>
        <w:rPr/>
      </w:r>
      <w:r>
        <w:t xml:space="preserve">No person may bring into or maintain in the harbor any derelict watercraft, watercraft for salvage, or abandon any watercraft in the harbor without a permit from the harbor master or, if there is no harbor master, the appropriate municipal official. Whoever does so without permit is guilty of a Class E crime. Watercraft which are to be salvaged by firms licensed by the State to do salvage work shall be excluded from this section. The municipal board or commission entrusted with harbor management shall be the sole determiner as to what constitutes a watercraft that is derelict and what constitutes a watercraft that is abandoned.</w:t>
      </w:r>
      <w:r>
        <w:t xml:space="preserve">  </w:t>
      </w:r>
      <w:r xmlns:wp="http://schemas.openxmlformats.org/drawingml/2010/wordprocessingDrawing" xmlns:w15="http://schemas.microsoft.com/office/word/2012/wordml">
        <w:rPr>
          <w:rFonts w:ascii="Arial" w:hAnsi="Arial" w:cs="Arial"/>
          <w:sz w:val="22"/>
          <w:szCs w:val="22"/>
        </w:rPr>
        <w:t xml:space="preserve">[PL 1987, c. 412, §§ 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412, §§7,8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 Abandonment of watercraft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Abandonment of watercraft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 ABANDONMENT OF WATERCRAFT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