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Presumption of earnings loss for retirees</w:t>
      </w:r>
    </w:p>
    <w:p>
      <w:pPr>
        <w:jc w:val="both"/>
        <w:spacing w:before="100" w:after="0"/>
        <w:ind w:start="360"/>
        <w:ind w:firstLine="360"/>
      </w:pPr>
      <w:r>
        <w:rPr>
          <w:b/>
        </w:rPr>
        <w:t>1</w:t>
        <w:t xml:space="preserve">.  </w:t>
      </w:r>
      <w:r>
        <w:rPr>
          <w:b/>
        </w:rPr>
        <w:t xml:space="preserve">Presumption.</w:t>
        <w:t xml:space="preserve"> </w:t>
      </w:r>
      <w:r>
        <w:t xml:space="preserve"> </w:t>
      </w:r>
      <w:r>
        <w:t xml:space="preserve">An employee who terminates active employment and is receiving nondisability pension or retirement benefits under either a private or governmental pension or retirement program, including old-age benefits under the United States Social Security Act, 42 United States Code, Sections 301 to 1397f, that was paid by or on behalf of an employer from whom weekly benefits under this Act are sought is presumed not to have a loss of earnings or earning capacity as the result of compensable injury or disease under this Act.  This presumption may be rebutted only by a preponderance of evidence that the employee is unable, because of a work-related disability, to perform work suitable to the employee's qualifications, including training or experience.  This standard of disability supersedes other applicable standards used to determine disability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as a bar to an employee receiving medical benefits under </w:t>
      </w:r>
      <w:r>
        <w:t>section 206</w:t>
      </w:r>
      <w:r>
        <w:t xml:space="preserve"> upon the establishment of a causal relationship between the employee's work and the need for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§223. Presumption of earnings loss for retirees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Presumption of earnings loss for retirees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§223. PRESUMPTION OF EARNINGS LOSS FOR RETIREES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