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REVISED UNIFORM LAW ON NOTARIAL ACTS</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 Acknowledgment.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 (COR).]</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§4 (COR). </w:t>
      </w:r>
    </w:p>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 (COR).]</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§5 (COR). </w:t>
      </w:r>
    </w:p>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§6 (COR).]</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§6 (COR). </w:t>
      </w:r>
    </w:p>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acknowledgment of tangible record.</w:t>
        <w:t xml:space="preserve"> </w:t>
      </w:r>
      <w:r>
        <w:t xml:space="preserve"> </w:t>
      </w:r>
      <w:r>
        <w:t xml:space="preserve">A notarial officer located in this State may use communication technology under subsection 3 to take an acknowledgment of a signature on a tangible record physically present before the notarial officer if the record is displayed to and identified by the remotely located individual during the audiovisual recording under subsection 3,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§7 (COR).]</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RR 2023, c. 2, Pt. A, §7 (COR). </w:t>
      </w:r>
    </w:p>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39. REVISED UNIFORM LAW ON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REVISED UNIFORM LAW ON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39. REVISED UNIFORM LAW ON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