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Facsimile signature of clerk</w:t>
      </w:r>
    </w:p>
    <w:p>
      <w:pPr>
        <w:jc w:val="both"/>
        <w:spacing w:before="100" w:after="100"/>
        <w:ind w:start="360"/>
        <w:ind w:firstLine="360"/>
      </w:pPr>
      <w:r>
        <w:rPr/>
      </w:r>
      <w:r>
        <w:rPr/>
      </w:r>
      <w:r>
        <w:t xml:space="preserve">A facsimile of the signature of the clerk of the Supreme Judicial Court imprinted by or at the clerk's direction upon any writ, summons, subpoena, order or notice or order of attachment, except executions and criminal process, has the same validity as the clerk's written signature.</w:t>
      </w:r>
      <w:r>
        <w:t xml:space="preserve">  </w:t>
      </w:r>
      <w:r xmlns:wp="http://schemas.openxmlformats.org/drawingml/2010/wordprocessingDrawing" xmlns:w15="http://schemas.microsoft.com/office/word/2012/wordml">
        <w:rPr>
          <w:rFonts w:ascii="Arial" w:hAnsi="Arial" w:cs="Arial"/>
          <w:sz w:val="22"/>
          <w:szCs w:val="22"/>
        </w:rPr>
        <w:t xml:space="preserve">[RR 2021, c. 1,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Facsimile signature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Facsimile signature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 FACSIMILE SIGNATURE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