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Surety bonds authorized in civil and criminal cases</w:t>
      </w:r>
    </w:p>
    <w:p>
      <w:pPr>
        <w:jc w:val="both"/>
        <w:spacing w:before="100" w:after="100"/>
        <w:ind w:start="360"/>
        <w:ind w:firstLine="360"/>
      </w:pPr>
      <w:r>
        <w:rPr/>
      </w:r>
      <w:r>
        <w:rPr/>
      </w:r>
      <w:r>
        <w:t xml:space="preserve">In any civil or criminal action or mesne process or other process when a bail bond, recognizance or personal sureties or other obligation is required, or whenever any person is arrested and is required or permitted to recognize with sureties for that person's appearance in court, the court official or other authority authorized by law to accept and approve the same shall accept and approve in lieu thereof, when offered, a good and sufficient surety bond duly executed by a surety company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§1054. Surety bonds authorized in civil and criminal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Surety bonds authorized in civil and criminal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§1054. SURETY BONDS AUTHORIZED IN CIVIL AND CRIMINAL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