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Prisoner application to proceed in forma pauperis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§1058. PRISONER APPLICATION TO PROCEED IN FORMA PAUPERIS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