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 Trial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Trial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§110. TRIAL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