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Simultaneous and special sessions</w:t>
      </w:r>
    </w:p>
    <w:p>
      <w:pPr>
        <w:jc w:val="both"/>
        <w:spacing w:before="100" w:after="100"/>
        <w:ind w:start="360"/>
        <w:ind w:firstLine="360"/>
      </w:pPr>
      <w:r>
        <w:rPr/>
      </w:r>
      <w:r>
        <w:rPr/>
      </w:r>
      <w:r>
        <w:t xml:space="preserve">Two or more simultaneous sessions of the Superior Court may be held in the same county, or special sessions thereof may be held in any county, whenever the Chief Justice of the Superior Court determines that public convenience so requires. The business may be so divided as to secure its speedy and convenient disposal. Special sessions of the Superior Court for the transaction of civil or criminal business or both may be held in any county at any time whenever the Chief Justice of the Superior Court determines that public convenience and necessity so require.</w:t>
      </w:r>
      <w:r>
        <w:t xml:space="preserve">  </w:t>
      </w:r>
      <w:r xmlns:wp="http://schemas.openxmlformats.org/drawingml/2010/wordprocessingDrawing" xmlns:w15="http://schemas.microsoft.com/office/word/2012/wordml">
        <w:rPr>
          <w:rFonts w:ascii="Arial" w:hAnsi="Arial" w:cs="Arial"/>
          <w:sz w:val="22"/>
          <w:szCs w:val="22"/>
        </w:rPr>
        <w:t xml:space="preserve">[PL 1983, c. 688,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 Simultaneous and special sessions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Simultaneous and special sessions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§111. SIMULTANEOUS AND SPECIAL SESSIONS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