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Authority of court</w:t>
      </w:r>
    </w:p>
    <w:p>
      <w:pPr>
        <w:jc w:val="both"/>
        <w:spacing w:before="100" w:after="100"/>
        <w:ind w:start="360"/>
        <w:ind w:firstLine="360"/>
      </w:pPr>
      <w:r>
        <w:rPr/>
      </w:r>
      <w:r>
        <w:rPr/>
      </w:r>
      <w:r>
        <w:t xml:space="preserve">The Superior Court may administer all necessary oaths, render judgment and issue execution, punish for contempt and compel attendance; and the provisions of law relative to the jurisdiction of the Supreme Judicial Court in each of said counties over parties, the arrest of persons, attachment of property, the time and mode of service of precepts, proceedings in court, the taxation of costs, the rendition of judgments, the issuing, service and return of executions and all other subjects apply to the Superior Court in all respects, except so far as they are modified by law, and the Superior Court is clothed with all the powers necessary for the performance of all its duties.</w:t>
      </w:r>
      <w:r>
        <w:t xml:space="preserve">  </w:t>
      </w:r>
      <w:r xmlns:wp="http://schemas.openxmlformats.org/drawingml/2010/wordprocessingDrawing" xmlns:w15="http://schemas.microsoft.com/office/word/2012/wordml">
        <w:rPr>
          <w:rFonts w:ascii="Arial" w:hAnsi="Arial" w:cs="Arial"/>
          <w:sz w:val="22"/>
          <w:szCs w:val="22"/>
        </w:rPr>
        <w:t xml:space="preserve">[PL 1975, c. 408,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 Authority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Authority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§114. AUTHORITY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