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115-A</w:t>
        <w:t xml:space="preserve">.  </w:t>
      </w:r>
      <w:r>
        <w:rPr>
          <w:b/>
        </w:rPr>
        <w:t xml:space="preserve">Closure of Superior Courts</w:t>
      </w:r>
    </w:p>
    <w:p>
      <w:pPr>
        <w:jc w:val="both"/>
        <w:spacing w:before="100" w:after="100"/>
        <w:ind w:start="360"/>
        <w:ind w:firstLine="360"/>
      </w:pPr>
      <w:r>
        <w:rPr/>
      </w:r>
      <w:r>
        <w:rPr/>
      </w:r>
      <w:r>
        <w:t xml:space="preserve">A Superior Court location, as authorized under the provisions of this chapter, may not be closed unless approved by an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675,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§115-A. Closure of Superior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§115-A. Closure of Superior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§115-A. CLOSURE OF SUPERIOR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