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General provisions</w:t>
      </w:r>
    </w:p>
    <w:p>
      <w:pPr>
        <w:jc w:val="both"/>
        <w:spacing w:before="100" w:after="0"/>
        <w:ind w:start="360"/>
        <w:ind w:firstLine="360"/>
      </w:pPr>
      <w:r>
        <w:rPr>
          <w:b/>
        </w:rPr>
        <w:t>1</w:t>
        <w:t xml:space="preserve">.  </w:t>
      </w:r>
      <w:r>
        <w:rPr>
          <w:b/>
        </w:rPr>
        <w:t xml:space="preserve">Application.</w:t>
        <w:t xml:space="preserve"> </w:t>
      </w:r>
      <w:r>
        <w:t xml:space="preserve"> </w:t>
      </w:r>
      <w:r>
        <w:t xml:space="preserve">The retirement benefits of all judges who retired prior to December 1, 1984 are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Beginning on the effective date of this subsection, this chapter is administered by the Board of Trustees of the Maine Public Employees Retirement System.  The trustees and the system are entitled to rely upon the books, records and reports provided to the board with respect to the payments, liabilities, beneficiary designations and all transactions conducted prior to the effective date of this subsection, and must be indemnified and held harmless by the State with respect to any such matters.  On and after the effective date of this subsection, the Board of Trustees of the Maine Public Employees Retirement System is responsible for the payment of the retirement allowance under this section from the pre-1984 judicial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