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 Administration of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Administration of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§169. ADMINISTRATION OF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