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171-A</w:t>
        <w:t xml:space="preserve">.  </w:t>
      </w:r>
      <w:r>
        <w:rPr>
          <w:b/>
        </w:rPr>
        <w:t xml:space="preserve">Traffic infraction and civil violation complaints</w:t>
      </w:r>
    </w:p>
    <w:p>
      <w:pPr>
        <w:jc w:val="both"/>
        <w:spacing w:before="100" w:after="0"/>
        <w:ind w:start="360"/>
        <w:ind w:firstLine="360"/>
      </w:pPr>
      <w:r>
        <w:rPr>
          <w:b/>
        </w:rPr>
        <w:t>1</w:t>
        <w:t xml:space="preserve">.  </w:t>
      </w:r>
      <w:r>
        <w:rPr>
          <w:b/>
        </w:rPr>
        <w:t xml:space="preserve">Traffic infraction.</w:t>
        <w:t xml:space="preserve"> </w:t>
      </w:r>
      <w:r>
        <w:t xml:space="preserve"> </w:t>
      </w:r>
      <w:r>
        <w:t xml:space="preserve">When a complaint is made to the proper officer of the District Court charging a person with the commission of a traffic infraction the officer of the District Court shall cause to be served upon the person a Violation Summons and Complaint or other process in such form and under such circumstances as the Supreme Judicial Court shall by rule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When a complaint is made to the proper officer of the District Court charging a person with the commission of a civil violation other than a traffic infraction, the officer of the District Court shall cause to be served upon the person a Uniform Summons and Complaint or other process in such form and under such circumstances as the Supreme Judicial Court shall by rule provide.  The clerk of each division may accept an admission to a civil violation upon payment of a fine and surcharge in accordance with a schedule of violations, fines and surcharges, within the limits prescribed by law, established by the Chief Judge, which the Chief Judge may amend.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§4 (NEW). PL 1991, c. 733, §1 (RPR). PL 2017, c. 329,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§171-A. Traffic infraction and civil violation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§171-A. Traffic infraction and civil violation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§171-A. TRAFFIC INFRACTION AND CIVIL VIOLATION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