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 Licensing and appellate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Licensing and appellate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§184. LICENSING AND APPELLATE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