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1929</w:t>
        <w:t xml:space="preserve">.  </w:t>
      </w:r>
      <w:r>
        <w:rPr>
          <w:b/>
        </w:rPr>
        <w:t xml:space="preserve">Notary public commission in effect</w:t>
      </w:r>
    </w:p>
    <w:p>
      <w:pPr>
        <w:jc w:val="both"/>
        <w:spacing w:before="100" w:after="100"/>
        <w:ind w:start="360"/>
        <w:ind w:firstLine="360"/>
      </w:pPr>
      <w:r>
        <w:rPr/>
      </w:r>
      <w:r>
        <w:rPr/>
      </w:r>
      <w:r>
        <w:t xml:space="preserve">A notary public commission in effect on July 1, 2023 continues until its date of expiration.  A notary public who applies to renew a notary public commission on or after July 1, 2023 is subject to and shall comply with this chapter.  A notary public, in performing notarial acts after July 1, 2023, shall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§1929. Notary public commission in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§1929. Notary public commission in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§1929. NOTARY PUBLIC COMMISSION IN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