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Fee schedule</w:t>
      </w:r>
    </w:p>
    <w:p>
      <w:pPr>
        <w:jc w:val="both"/>
        <w:spacing w:before="100" w:after="100"/>
        <w:ind w:start="360"/>
        <w:ind w:firstLine="360"/>
      </w:pPr>
      <w:r>
        <w:rPr/>
      </w:r>
      <w:r>
        <w:rPr/>
      </w:r>
      <w:r>
        <w:t xml:space="preserve">The Supreme Judicial Court shall have the authority to prescribe rules establishing the fees of clerks of the judicial courts.</w:t>
      </w:r>
      <w:r>
        <w:t xml:space="preserve">  </w:t>
      </w:r>
      <w:r xmlns:wp="http://schemas.openxmlformats.org/drawingml/2010/wordprocessingDrawing" xmlns:w15="http://schemas.microsoft.com/office/word/2012/wordml">
        <w:rPr>
          <w:rFonts w:ascii="Arial" w:hAnsi="Arial" w:cs="Arial"/>
          <w:sz w:val="22"/>
          <w:szCs w:val="22"/>
        </w:rPr>
        <w:t xml:space="preserve">[PL 1979, c. 663,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256 (AMD). PL 1973, c. 355 (AMD). PL 1979, c. 425, §2 (RPR). PL 1979, c. 541, §A13 (AMD). PL 1979, c. 663,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§555.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