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Record of civil cases</w:t>
      </w:r>
    </w:p>
    <w:p>
      <w:pPr>
        <w:jc w:val="both"/>
        <w:spacing w:before="100" w:after="100"/>
        <w:ind w:start="360"/>
        <w:ind w:firstLine="360"/>
      </w:pPr>
      <w:r>
        <w:rPr/>
      </w:r>
      <w:r>
        <w:rPr/>
      </w:r>
      <w:r>
        <w:t xml:space="preserve">After the rendition of final judgment or decree in any civil action, the clerk shall, as soon as may be, make such a record thereof in short form, except in such specific instances as the court by general rule or special order may direct. If either party files a request and tenders the fees therefor, a full, extended record shall be made. The court may establish the form of such short form record and full, extended record.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§563. Record of civil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Record of civil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§563. RECORD OF CIVIL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