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11007</w:t>
        <w:t xml:space="preserve">.  </w:t>
      </w:r>
      <w:r>
        <w:rPr>
          <w:b/>
        </w:rPr>
        <w:t xml:space="preserve">Manner and scope of review</w:t>
      </w:r>
    </w:p>
    <w:p>
      <w:pPr>
        <w:jc w:val="both"/>
        <w:spacing w:before="100" w:after="0"/>
        <w:ind w:start="360"/>
        <w:ind w:firstLine="360"/>
      </w:pPr>
      <w:r>
        <w:rPr>
          <w:b/>
        </w:rPr>
        <w:t>1</w:t>
        <w:t xml:space="preserve">.  </w:t>
      </w:r>
      <w:r>
        <w:rPr>
          <w:b/>
        </w:rPr>
        <w:t xml:space="preserve">Schedule.</w:t>
        <w:t xml:space="preserve"> </w:t>
      </w:r>
      <w:r>
        <w:t xml:space="preserve"> </w:t>
      </w:r>
      <w:r>
        <w:t xml:space="preserve">The court, upon request or its own motion, shall set a schedule for the filing of briefs by the parties and for oral argument.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Review by court.</w:t>
        <w:t xml:space="preserve"> </w:t>
      </w:r>
      <w:r>
        <w:t xml:space="preserve"> </w:t>
      </w:r>
      <w:r>
        <w:t xml:space="preserve">Except where otherwise provided by statute or constitutional right, review shall be conducted by the court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Judgment.</w:t>
        <w:t xml:space="preserve"> </w:t>
      </w:r>
      <w:r>
        <w:t xml:space="preserve"> </w:t>
      </w:r>
      <w:r>
        <w:t xml:space="preserve">The court may not substitute its judgment for that of the agency on questions of fact, except that, with respect to a timely appeal by an individual of a denial of a disability determination by a hearing officer pursuant to </w:t>
      </w:r>
      <w:r>
        <w:t>sections 17106‑A</w:t>
      </w:r>
      <w:r>
        <w:t xml:space="preserve"> and </w:t>
      </w:r>
      <w:r>
        <w:t>17106‑B</w:t>
      </w:r>
      <w:r>
        <w:t xml:space="preserve">, the court shall review the matter de novo.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§10 (AMD).]</w:t>
      </w:r>
    </w:p>
    <w:p>
      <w:pPr>
        <w:jc w:val="both"/>
        <w:spacing w:before="100" w:after="100"/>
        <w:ind w:start="360"/>
        <w:ind w:firstLine="360"/>
      </w:pPr>
      <w:r>
        <w:rPr>
          <w:b/>
        </w:rPr>
        <w:t>4</w:t>
        <w:t xml:space="preserve">.  </w:t>
      </w:r>
      <w:r>
        <w:rPr>
          <w:b/>
        </w:rPr>
        <w:t xml:space="preserve">Decision.</w:t>
        <w:t xml:space="preserve"> </w:t>
      </w:r>
      <w:r>
        <w:t xml:space="preserve"> </w:t>
      </w:r>
      <w:r>
        <w:t xml:space="preserve">The court may:</w:t>
      </w:r>
    </w:p>
    <w:p>
      <w:pPr>
        <w:jc w:val="both"/>
        <w:spacing w:before="100" w:after="0"/>
        <w:ind w:start="720"/>
      </w:pPr>
      <w:r>
        <w:rPr/>
        <w:t>A</w:t>
        <w:t xml:space="preserve">.  </w:t>
      </w:r>
      <w:r>
        <w:rPr/>
      </w:r>
      <w:r>
        <w:t xml:space="preserve">Affirm the decision of the agency;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Remand the case for further proceedings, findings of fact or conclusions of law or direct the agency to hold such proceedings or take such action as the court deems necessary; or</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Reverse or modify the decision if the administrative findings, inferences, conclusions or decisions are:</w:t>
      </w:r>
    </w:p>
    <w:p>
      <w:pPr>
        <w:jc w:val="both"/>
        <w:spacing w:before="100" w:after="0"/>
        <w:ind w:start="1080"/>
      </w:pPr>
      <w:r>
        <w:rPr/>
        <w:t>(</w:t>
        <w:t>1</w:t>
        <w:t xml:space="preserve">)  </w:t>
      </w:r>
      <w:r>
        <w:rPr/>
      </w:r>
      <w:r>
        <w:t xml:space="preserve">In violation of constitutional or statutory provisions;</w:t>
      </w:r>
    </w:p>
    <w:p>
      <w:pPr>
        <w:jc w:val="both"/>
        <w:spacing w:before="100" w:after="0"/>
        <w:ind w:start="1080"/>
      </w:pPr>
      <w:r>
        <w:rPr/>
        <w:t>(</w:t>
        <w:t>2</w:t>
        <w:t xml:space="preserve">)  </w:t>
      </w:r>
      <w:r>
        <w:rPr/>
      </w:r>
      <w:r>
        <w:t xml:space="preserve">In excess of the statutory authority of the agency;</w:t>
      </w:r>
    </w:p>
    <w:p>
      <w:pPr>
        <w:jc w:val="both"/>
        <w:spacing w:before="100" w:after="0"/>
        <w:ind w:start="1080"/>
      </w:pPr>
      <w:r>
        <w:rPr/>
        <w:t>(</w:t>
        <w:t>3</w:t>
        <w:t xml:space="preserve">)  </w:t>
      </w:r>
      <w:r>
        <w:rPr/>
      </w:r>
      <w:r>
        <w:t xml:space="preserve">Made upon unlawful procedure;</w:t>
      </w:r>
    </w:p>
    <w:p>
      <w:pPr>
        <w:jc w:val="both"/>
        <w:spacing w:before="100" w:after="0"/>
        <w:ind w:start="1080"/>
      </w:pPr>
      <w:r>
        <w:rPr/>
        <w:t>(</w:t>
        <w:t>4</w:t>
        <w:t xml:space="preserve">)  </w:t>
      </w:r>
      <w:r>
        <w:rPr/>
      </w:r>
      <w:r>
        <w:t xml:space="preserve">Affected by bias or error of law;</w:t>
      </w:r>
    </w:p>
    <w:p>
      <w:pPr>
        <w:jc w:val="both"/>
        <w:spacing w:before="100" w:after="0"/>
        <w:ind w:start="1080"/>
      </w:pPr>
      <w:r>
        <w:rPr/>
        <w:t>(</w:t>
        <w:t>5</w:t>
        <w:t xml:space="preserve">)  </w:t>
      </w:r>
      <w:r>
        <w:rPr/>
      </w:r>
      <w:r>
        <w:t xml:space="preserve">Unsupported by substantial evidence on the whole record; or</w:t>
      </w:r>
    </w:p>
    <w:p>
      <w:pPr>
        <w:jc w:val="both"/>
        <w:spacing w:before="100" w:after="0"/>
        <w:ind w:start="1080"/>
      </w:pPr>
      <w:r>
        <w:rPr/>
        <w:t>(</w:t>
        <w:t>6</w:t>
        <w:t xml:space="preserve">)  </w:t>
      </w:r>
      <w:r>
        <w:rPr/>
      </w:r>
      <w:r>
        <w:t xml:space="preserve">Arbitrary or capricious or characterized by abuse of discretion.</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2021, c. 277,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§11007. Manner and scope of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§11007. Manner and scope of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§11007. MANNER AND SCOPE OF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