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13057</w:t>
        <w:t xml:space="preserve">.  </w:t>
      </w:r>
      <w:r>
        <w:rPr>
          <w:b/>
        </w:rPr>
        <w:t xml:space="preserve">Commissioner; appointment</w:t>
      </w:r>
    </w:p>
    <w:p>
      <w:pPr>
        <w:jc w:val="both"/>
        <w:spacing w:before="100" w:after="100"/>
        <w:ind w:start="360"/>
        <w:ind w:firstLine="360"/>
      </w:pPr>
      <w:r>
        <w:rPr/>
      </w:r>
      <w:r>
        <w:rPr/>
      </w:r>
      <w:r>
        <w:t xml:space="preserve">The commissioner shall be appointed by the Governor, subject to review by the joint standing committee of the Legislature having jurisdiction over economic development matters and legislation and to confirmation by the Legislature.  The commissioner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commissioner shall be a person with background, experience and interest in the areas of community and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§13057. Commissioner;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§13057. Commissioner;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§13057. COMMISSIONER;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