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13204</w:t>
        <w:t xml:space="preserve">.  </w:t>
      </w:r>
      <w:r>
        <w:rPr>
          <w:b/>
        </w:rPr>
        <w:t xml:space="preserve">Use of operating revenues</w:t>
      </w:r>
    </w:p>
    <w:p>
      <w:pPr>
        <w:jc w:val="both"/>
        <w:spacing w:before="100" w:after="0"/>
        <w:ind w:start="360"/>
        <w:ind w:firstLine="360"/>
      </w:pPr>
      <w:r>
        <w:rPr>
          <w:b/>
        </w:rPr>
        <w:t>1</w:t>
        <w:t xml:space="preserve">.  </w:t>
      </w:r>
      <w:r>
        <w:rPr>
          <w:b/>
        </w:rPr>
        <w:t xml:space="preserve">Principal use of revenues.</w:t>
        <w:t xml:space="preserve"> </w:t>
      </w:r>
      <w:r>
        <w:t xml:space="preserve"> </w:t>
      </w:r>
      <w:r>
        <w:t xml:space="preserve">Operating revenues must be used principally to reinvest in the properties held by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2</w:t>
        <w:t xml:space="preserve">.  </w:t>
      </w:r>
      <w:r>
        <w:rPr>
          <w:b/>
        </w:rPr>
        <w:t xml:space="preserve">Permitted liability limited.</w:t>
        <w:t xml:space="preserve"> </w:t>
      </w:r>
      <w:r>
        <w:t xml:space="preserve"> </w:t>
      </w:r>
      <w:r>
        <w:t xml:space="preserve">All expenses incurred in carrying out the provisions of this chapter must be paid solely from funds provided by the corporation, and liability or obligation may not be incurred under this chapter beyond the extent to which funds have been provided by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3</w:t>
        <w:t xml:space="preserve">.  </w:t>
      </w:r>
      <w:r>
        <w:rPr>
          <w:b/>
        </w:rPr>
        <w:t xml:space="preserve">Equal opportunity employers.</w:t>
        <w:t xml:space="preserve"> </w:t>
      </w:r>
      <w:r>
        <w:t xml:space="preserve"> </w:t>
      </w:r>
      <w:r>
        <w:t xml:space="preserve">Contractors and subcontractors on corporation construction and reconstruction projects must be equal opportunity employers and, for contracts of more than $250,000, shall pursue in good faith affirmative action programs as defined in </w:t>
      </w:r>
      <w:r>
        <w:t>section 782</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§13204. Use of operating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§13204. Use of operating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§13204. USE OF OPERATING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