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Federal funds</w:t>
      </w:r>
    </w:p>
    <w:p>
      <w:pPr>
        <w:jc w:val="both"/>
        <w:spacing w:before="100" w:after="100"/>
        <w:ind w:start="360"/>
        <w:ind w:firstLine="360"/>
      </w:pPr>
      <w:r>
        <w:rPr/>
      </w:r>
      <w:r>
        <w:rPr/>
      </w:r>
      <w:r>
        <w:t xml:space="preserve">The Governor and every state officer and department head who is entrusted with the expenditure of federal funds in this State shall file in the office of the State Controller a detailed report of all disbursements, including the purposes for which such disbursements were made and the persons to whom any money was paid, supported by proper vouchers.  The report must be filed within 30 days after the entire fund has been disbursed.</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w:pPr>
        <w:jc w:val="both"/>
        <w:spacing w:before="100" w:after="100"/>
        <w:ind w:start="360"/>
        <w:ind w:firstLine="360"/>
      </w:pPr>
      <w:r>
        <w:rPr/>
      </w:r>
      <w:r>
        <w:rPr/>
      </w:r>
      <w:r>
        <w:t xml:space="preserve">A state officer excepting the Governor, whether elected or appointed, and a department head who fails or neglects to file the report as provided is subject to removal from office by authority of the Governor, and if the Governor  fails or neglects to file the report, the Governor is subject to impeachment in the manner provided in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§1502.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