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§1557. LATE FEES AND IMPROPER INVOICES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