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17156</w:t>
        <w:t xml:space="preserve">.  </w:t>
      </w:r>
      <w:r>
        <w:rPr>
          <w:b/>
        </w:rPr>
        <w:t xml:space="preserve">Rate of interest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shall, from time to time, by order, set the rate of regular interest at a percent rate compounded periodically determined by the board to be equitable, both to members and to the taxpayers of the State, provided that the interest credited to a member with less than 10 years of creditable service on contributions related to compensation for service rendered as a part-time, seasonal or temporary employee after December 31, 1991 must at least equal the yield of a 10-year United States treasury bond on the last business day of the previous calendar year reduced by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1991, c. 619, §5 (AMD);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 (AMD). PL 1991, c. 619, §5 (AMD). PL 1991, c. 619,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§17156. Rate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§17156. Rate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§17156. RATE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